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541B99" w14:textId="77777777" w:rsidR="00ED33F8" w:rsidRPr="00C8153E" w:rsidRDefault="00ED33F8" w:rsidP="00ED33F8">
      <w:pPr>
        <w:rPr>
          <w:b/>
          <w:bCs/>
        </w:rPr>
      </w:pPr>
      <w:r w:rsidRPr="00C8153E">
        <w:rPr>
          <w:b/>
          <w:bCs/>
        </w:rPr>
        <w:t xml:space="preserve">Sistema financeiro Nacional </w:t>
      </w:r>
    </w:p>
    <w:p w14:paraId="018A344E" w14:textId="358E83AD" w:rsidR="00ED33F8" w:rsidRDefault="00ED33F8" w:rsidP="00ED33F8">
      <w:r>
        <w:t>Você já pensou em como milhões de pessoas e empresas, todos os dias, conseguem transacionar recursos entre si com total segurança? Pois é, isso só é possível graças à estrutura que existe em nosso sistema financeiro.</w:t>
      </w:r>
    </w:p>
    <w:p w14:paraId="1CA93C57" w14:textId="77777777" w:rsidR="00ED33F8" w:rsidRDefault="00ED33F8" w:rsidP="00ED33F8">
      <w:r>
        <w:t>O Sistema Financeiro Nacional (SFN) é formado por um conjunto de entidades e instituições que promovem a intermediação financeira. Isto é, o encontro entre credores e tomadores de recursos. É por meio dele que as pessoas, as empresas e o governo circulam a maior parte dos seus ativos, pagam suas dívidas e realizam seus investimentos.</w:t>
      </w:r>
    </w:p>
    <w:p w14:paraId="404CF5B9" w14:textId="7DF83176" w:rsidR="00ED33F8" w:rsidRDefault="00ED33F8" w:rsidP="00ED33F8">
      <w:r>
        <w:t>O SFN é organizado por agentes normativos, supervisores e operadores. Os órgãos normativos determinam regras gerais para o bom funcionamento do sistema. As entidades supervisoras trabalham para que os integrantes do sistema financeiro sigam as regras definidas pelos órgãos normativos. E os operadores são as instituições que ofertam serviços financeiros, no papel de intermediários.</w:t>
      </w:r>
    </w:p>
    <w:p w14:paraId="16F6E184" w14:textId="394E6950" w:rsidR="00ED33F8" w:rsidRDefault="00ED33F8" w:rsidP="00ED33F8">
      <w:r>
        <w:rPr>
          <w:noProof/>
        </w:rPr>
        <w:drawing>
          <wp:inline distT="0" distB="0" distL="0" distR="0" wp14:anchorId="4A7D7206" wp14:editId="77029656">
            <wp:extent cx="5400040" cy="25717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00040" cy="2571750"/>
                    </a:xfrm>
                    <a:prstGeom prst="rect">
                      <a:avLst/>
                    </a:prstGeom>
                    <a:noFill/>
                    <a:ln>
                      <a:noFill/>
                    </a:ln>
                  </pic:spPr>
                </pic:pic>
              </a:graphicData>
            </a:graphic>
          </wp:inline>
        </w:drawing>
      </w:r>
    </w:p>
    <w:p w14:paraId="38AA8CB7" w14:textId="77777777" w:rsidR="00ED33F8" w:rsidRDefault="00ED33F8" w:rsidP="00ED33F8"/>
    <w:p w14:paraId="42F48063" w14:textId="4B9222C6" w:rsidR="00ED33F8" w:rsidRPr="00C8153E" w:rsidRDefault="00ED33F8" w:rsidP="00ED33F8">
      <w:pPr>
        <w:rPr>
          <w:b/>
          <w:bCs/>
        </w:rPr>
      </w:pPr>
      <w:r w:rsidRPr="00C8153E">
        <w:rPr>
          <w:b/>
          <w:bCs/>
        </w:rPr>
        <w:t>CONSELHO MONETÁRIO NACIONAL</w:t>
      </w:r>
    </w:p>
    <w:p w14:paraId="4D977D07" w14:textId="4E707700" w:rsidR="00ED33F8" w:rsidRDefault="00ED33F8" w:rsidP="00ED33F8">
      <w:r>
        <w:t>Criado pela Lei 4.595 de 31/12/1964, o CMN compõe a estrutura básica do Ministério da Economia, mas é o órgão deliberativo máximo do SFN. Em outras palavras, é a autoridade máxima do SFN, o chefe. O CMN está subordinado apenas ao presidente da República. Esse conselho é formado por 3 membros</w:t>
      </w:r>
    </w:p>
    <w:p w14:paraId="07943C9C" w14:textId="619C49FE" w:rsidR="00ED33F8" w:rsidRDefault="00ED33F8" w:rsidP="00ED33F8">
      <w:r>
        <w:rPr>
          <w:rFonts w:ascii="Segoe UI Symbol" w:hAnsi="Segoe UI Symbol" w:cs="Segoe UI Symbol"/>
        </w:rPr>
        <w:t>⯀</w:t>
      </w:r>
      <w:r>
        <w:t xml:space="preserve"> O Ministro da Economia (presidente do conselho); </w:t>
      </w:r>
    </w:p>
    <w:p w14:paraId="7BBAAD9E" w14:textId="43CF7D33" w:rsidR="00ED33F8" w:rsidRDefault="00ED33F8" w:rsidP="00ED33F8">
      <w:r>
        <w:rPr>
          <w:rFonts w:ascii="Segoe UI Symbol" w:hAnsi="Segoe UI Symbol" w:cs="Segoe UI Symbol"/>
        </w:rPr>
        <w:t>⯀</w:t>
      </w:r>
      <w:r>
        <w:t xml:space="preserve"> O Presidente do Banco Central; </w:t>
      </w:r>
    </w:p>
    <w:p w14:paraId="727B3EC2" w14:textId="0A02E4E6" w:rsidR="00ED33F8" w:rsidRDefault="00ED33F8" w:rsidP="00ED33F8">
      <w:r>
        <w:rPr>
          <w:rFonts w:ascii="Segoe UI Symbol" w:hAnsi="Segoe UI Symbol" w:cs="Segoe UI Symbol"/>
        </w:rPr>
        <w:t>⯀</w:t>
      </w:r>
      <w:r>
        <w:t xml:space="preserve"> Secretário Especial de Fazenda do Ministério da Economia.</w:t>
      </w:r>
    </w:p>
    <w:p w14:paraId="56AB5F4E" w14:textId="2C13F717" w:rsidR="00ED33F8" w:rsidRDefault="00ED33F8" w:rsidP="00ED33F8">
      <w:r>
        <w:t>Já que eu disse que o CMN é o chefe do sistema tenho que destacar suas deliberações. O CMN vai deliberar, entre outras coisas, sobre:</w:t>
      </w:r>
    </w:p>
    <w:p w14:paraId="0921D4EC" w14:textId="14FAF54A" w:rsidR="00ED33F8" w:rsidRDefault="00ED33F8" w:rsidP="00ED33F8">
      <w:r>
        <w:rPr>
          <w:rFonts w:ascii="Segoe UI Symbol" w:hAnsi="Segoe UI Symbol" w:cs="Segoe UI Symbol"/>
        </w:rPr>
        <w:t>⯀</w:t>
      </w:r>
      <w:r>
        <w:t xml:space="preserve"> as diretrizes e normas das políticas monetária, creditícia e cambial; </w:t>
      </w:r>
    </w:p>
    <w:p w14:paraId="6E66D2D2" w14:textId="7AA0D9BE" w:rsidR="00ED33F8" w:rsidRDefault="00ED33F8" w:rsidP="00ED33F8">
      <w:r>
        <w:rPr>
          <w:rFonts w:ascii="Segoe UI Symbol" w:hAnsi="Segoe UI Symbol" w:cs="Segoe UI Symbol"/>
        </w:rPr>
        <w:lastRenderedPageBreak/>
        <w:t>⯀</w:t>
      </w:r>
      <w:r>
        <w:t xml:space="preserve"> por regular as condições de constituição, funcionamento e fiscalização dos intermediários financeiros; </w:t>
      </w:r>
    </w:p>
    <w:p w14:paraId="5A4F2859" w14:textId="07CE4144" w:rsidR="00ED33F8" w:rsidRDefault="00ED33F8" w:rsidP="00ED33F8">
      <w:r>
        <w:rPr>
          <w:rFonts w:ascii="Segoe UI Symbol" w:hAnsi="Segoe UI Symbol" w:cs="Segoe UI Symbol"/>
        </w:rPr>
        <w:t>⯀</w:t>
      </w:r>
      <w:r>
        <w:t xml:space="preserve"> adaptar o volume dos meios de pagamento às necessidades da economia nacional, podendo autorizar as emissões de papel-moeda; </w:t>
      </w:r>
    </w:p>
    <w:p w14:paraId="06AD49F0" w14:textId="0EAA8F45" w:rsidR="00ED33F8" w:rsidRDefault="00ED33F8" w:rsidP="00ED33F8">
      <w:r>
        <w:rPr>
          <w:rFonts w:ascii="Segoe UI Symbol" w:hAnsi="Segoe UI Symbol" w:cs="Segoe UI Symbol"/>
        </w:rPr>
        <w:t>⯀</w:t>
      </w:r>
      <w:r>
        <w:t xml:space="preserve"> propiciar o aperfeiçoamento das instituições e dos instrumentos financeiros, com vistas à maior e ciência do sistema de pagamentos e de movimentação de recursos; </w:t>
      </w:r>
    </w:p>
    <w:p w14:paraId="583A277B" w14:textId="4046FB12" w:rsidR="00ED33F8" w:rsidRDefault="00ED33F8" w:rsidP="00ED33F8">
      <w:r>
        <w:rPr>
          <w:rFonts w:ascii="Segoe UI Symbol" w:hAnsi="Segoe UI Symbol" w:cs="Segoe UI Symbol"/>
        </w:rPr>
        <w:t>⯀</w:t>
      </w:r>
      <w:r>
        <w:t xml:space="preserve"> zelar pela liquidez e solvência das instituições financeiras;</w:t>
      </w:r>
    </w:p>
    <w:p w14:paraId="6A8D0BB9" w14:textId="7E1AB36F" w:rsidR="00ED33F8" w:rsidRDefault="00ED33F8" w:rsidP="00ED33F8">
      <w:r>
        <w:t xml:space="preserve"> </w:t>
      </w:r>
      <w:r>
        <w:rPr>
          <w:rFonts w:ascii="Segoe UI Symbol" w:hAnsi="Segoe UI Symbol" w:cs="Segoe UI Symbol"/>
        </w:rPr>
        <w:t>⯀</w:t>
      </w:r>
      <w:r>
        <w:t xml:space="preserve"> disciplinar o crédito em todas as suas modalidades e as operações creditícias em todas as suas formas, inclusive prestações de quaisquer garantias por parte das instituições financeiras; </w:t>
      </w:r>
    </w:p>
    <w:p w14:paraId="0390A1F1" w14:textId="6162979E" w:rsidR="00ED33F8" w:rsidRDefault="00ED33F8" w:rsidP="00ED33F8">
      <w:r>
        <w:rPr>
          <w:rFonts w:ascii="Segoe UI Symbol" w:hAnsi="Segoe UI Symbol" w:cs="Segoe UI Symbol"/>
        </w:rPr>
        <w:t>⯀</w:t>
      </w:r>
      <w:r>
        <w:t xml:space="preserve"> expedir normas gerais de contabilidade e estatística a serem observadas pelas instituições financeiras; </w:t>
      </w:r>
    </w:p>
    <w:p w14:paraId="6BE243BB" w14:textId="1E5F70A0" w:rsidR="00ED33F8" w:rsidRDefault="00ED33F8" w:rsidP="00ED33F8">
      <w:r>
        <w:rPr>
          <w:rFonts w:ascii="Segoe UI Symbol" w:hAnsi="Segoe UI Symbol" w:cs="Segoe UI Symbol"/>
        </w:rPr>
        <w:t>⯀</w:t>
      </w:r>
      <w:r>
        <w:t xml:space="preserve"> definir o percentual e a forma de recolhimentos compulsórios; </w:t>
      </w:r>
    </w:p>
    <w:p w14:paraId="624D587D" w14:textId="77777777" w:rsidR="00ED33F8" w:rsidRDefault="00ED33F8" w:rsidP="00ED33F8">
      <w:r>
        <w:rPr>
          <w:rFonts w:ascii="Segoe UI Symbol" w:hAnsi="Segoe UI Symbol" w:cs="Segoe UI Symbol"/>
        </w:rPr>
        <w:t>⯀</w:t>
      </w:r>
      <w:r>
        <w:t xml:space="preserve"> regulamentar, fixando limites, prazos e outras condições, as operações de redesconto e de empréstimo, efetuadas com quaisquer instituições financeiras públicas e privadas de natureza bancária.</w:t>
      </w:r>
    </w:p>
    <w:p w14:paraId="682E9498" w14:textId="77777777" w:rsidR="00ED33F8" w:rsidRDefault="00ED33F8" w:rsidP="00ED33F8">
      <w:r>
        <w:t xml:space="preserve">O CMN conduz o SFN com sua atividade regulatória por meio de elaboração de atos normativos, que chamamos de resoluções, que são deliberadas pelo CMN e publicadas no site do Banco Central do Brasil. Falando em BACEN, é sobre ele que iremos estudar agora. </w:t>
      </w:r>
    </w:p>
    <w:p w14:paraId="2A541681" w14:textId="4CA1C07C" w:rsidR="00822790" w:rsidRDefault="00ED33F8">
      <w:r>
        <w:rPr>
          <w:noProof/>
        </w:rPr>
        <w:drawing>
          <wp:inline distT="0" distB="0" distL="0" distR="0" wp14:anchorId="27630E54" wp14:editId="3D5A7CDD">
            <wp:extent cx="5400040" cy="370459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00040" cy="3704590"/>
                    </a:xfrm>
                    <a:prstGeom prst="rect">
                      <a:avLst/>
                    </a:prstGeom>
                    <a:noFill/>
                    <a:ln>
                      <a:noFill/>
                    </a:ln>
                  </pic:spPr>
                </pic:pic>
              </a:graphicData>
            </a:graphic>
          </wp:inline>
        </w:drawing>
      </w:r>
    </w:p>
    <w:p w14:paraId="774042ED" w14:textId="77777777" w:rsidR="00ED33F8" w:rsidRDefault="00ED33F8" w:rsidP="00ED33F8"/>
    <w:p w14:paraId="7E674E56" w14:textId="77777777" w:rsidR="00ED33F8" w:rsidRDefault="00ED33F8" w:rsidP="00ED33F8"/>
    <w:p w14:paraId="0F0355F9" w14:textId="77547707" w:rsidR="00ED33F8" w:rsidRPr="00C8153E" w:rsidRDefault="00ED33F8" w:rsidP="00ED33F8">
      <w:pPr>
        <w:rPr>
          <w:b/>
          <w:bCs/>
        </w:rPr>
      </w:pPr>
      <w:r w:rsidRPr="00C8153E">
        <w:rPr>
          <w:b/>
          <w:bCs/>
        </w:rPr>
        <w:lastRenderedPageBreak/>
        <w:t>Banco Central do Brasil – BACEN</w:t>
      </w:r>
    </w:p>
    <w:p w14:paraId="142F2ADC" w14:textId="1FF96D76" w:rsidR="00ED33F8" w:rsidRDefault="00ED33F8" w:rsidP="00ED33F8">
      <w:r>
        <w:t>O BACEN é uma autarquia federal criada pela Lei 4.595 de 1964 que dispõe de personalidade jurídica e patrimônio próprios</w:t>
      </w:r>
    </w:p>
    <w:p w14:paraId="44F69E84" w14:textId="77777777" w:rsidR="00ED33F8" w:rsidRDefault="00ED33F8" w:rsidP="00ED33F8">
      <w:r>
        <w:t>Com a Lei complementar nº 179/2021, o BACEN se desvinculou do Ministério da Economia e possui autonomia técnica, administrativa, operacional e financeira.</w:t>
      </w:r>
    </w:p>
    <w:p w14:paraId="6A5BAF96" w14:textId="77777777" w:rsidR="00ED33F8" w:rsidRDefault="00ED33F8" w:rsidP="00ED33F8">
      <w:r>
        <w:t>Sua estrutura organizacional é comandada por uma diretoria colegiada, composta por nove membros: o presidente e oito diretores, cada um responsável por uma diretoria específica.</w:t>
      </w:r>
    </w:p>
    <w:p w14:paraId="7AAD217E" w14:textId="77777777" w:rsidR="00ED33F8" w:rsidRDefault="00ED33F8" w:rsidP="00ED33F8">
      <w:r>
        <w:t>O mandato do presidente do BACEN inicia no 3 ano de mandato do Presidente da República, e a cada ano do mandato do Presidente da República, os diretores iniciam seu mandado no primeiro dia do ano.</w:t>
      </w:r>
    </w:p>
    <w:p w14:paraId="73846E0C" w14:textId="77777777" w:rsidR="00ED33F8" w:rsidRDefault="00ED33F8" w:rsidP="00ED33F8">
      <w:r>
        <w:t xml:space="preserve">O Banco Central possui o objetivo principal de manter a estabilidade dos preços e o controle da inflação. Já como objetivos secundários, ele deve zelar pela estabilidade e eficiência do Sistema Financeiro Nacional, Suavizar as oscilações das atividades econômicas e ainda fomentar o pleno emprego. </w:t>
      </w:r>
    </w:p>
    <w:p w14:paraId="2A7C9156" w14:textId="77777777" w:rsidR="00ED33F8" w:rsidRDefault="00ED33F8" w:rsidP="00ED33F8">
      <w:r>
        <w:t>O BACEN tem, entre suas atribuições, fiscalizar as instituições financeiras, mas não só isso. Vamos destacar aqui as atribuições do chefe dos bancos:</w:t>
      </w:r>
    </w:p>
    <w:p w14:paraId="453EB13A" w14:textId="77777777" w:rsidR="00ED33F8" w:rsidRDefault="00ED33F8" w:rsidP="00ED33F8">
      <w:r>
        <w:rPr>
          <w:rFonts w:ascii="Segoe UI Symbol" w:hAnsi="Segoe UI Symbol" w:cs="Segoe UI Symbol"/>
        </w:rPr>
        <w:t>⯀</w:t>
      </w:r>
      <w:r>
        <w:t xml:space="preserve"> emitir papel-moeda, nas condições e limites autorizados pelo CMN;</w:t>
      </w:r>
    </w:p>
    <w:p w14:paraId="5998C07F" w14:textId="77777777" w:rsidR="00ED33F8" w:rsidRDefault="00ED33F8" w:rsidP="00ED33F8">
      <w:r>
        <w:rPr>
          <w:rFonts w:ascii="Segoe UI Symbol" w:hAnsi="Segoe UI Symbol" w:cs="Segoe UI Symbol"/>
        </w:rPr>
        <w:t>⯀</w:t>
      </w:r>
      <w:r>
        <w:t xml:space="preserve"> receber os recolhimentos compulsórios;</w:t>
      </w:r>
    </w:p>
    <w:p w14:paraId="13653CC2" w14:textId="77777777" w:rsidR="00ED33F8" w:rsidRDefault="00ED33F8" w:rsidP="00ED33F8">
      <w:r>
        <w:rPr>
          <w:rFonts w:ascii="Segoe UI Symbol" w:hAnsi="Segoe UI Symbol" w:cs="Segoe UI Symbol"/>
        </w:rPr>
        <w:t>⯀</w:t>
      </w:r>
      <w:r>
        <w:t xml:space="preserve"> realizar operações de redesconto e empréstimo às instituições financeiras; </w:t>
      </w:r>
    </w:p>
    <w:p w14:paraId="6941655A" w14:textId="77777777" w:rsidR="00ED33F8" w:rsidRDefault="00ED33F8" w:rsidP="00ED33F8">
      <w:r>
        <w:rPr>
          <w:rFonts w:ascii="Segoe UI Symbol" w:hAnsi="Segoe UI Symbol" w:cs="Segoe UI Symbol"/>
        </w:rPr>
        <w:t>⯀</w:t>
      </w:r>
      <w:r>
        <w:t xml:space="preserve"> conduzir as políticas monetária, cambial e de crédito; </w:t>
      </w:r>
    </w:p>
    <w:p w14:paraId="277ED4FB" w14:textId="77777777" w:rsidR="00ED33F8" w:rsidRDefault="00ED33F8" w:rsidP="00ED33F8">
      <w:r>
        <w:rPr>
          <w:rFonts w:ascii="Segoe UI Symbol" w:hAnsi="Segoe UI Symbol" w:cs="Segoe UI Symbol"/>
        </w:rPr>
        <w:t>⯀</w:t>
      </w:r>
      <w:r>
        <w:t xml:space="preserve"> determinar, via Comitê de Política Monetária (Copom), a meta da taxa de juros de referência para as operações de um dia (Taxa Selic);</w:t>
      </w:r>
    </w:p>
    <w:p w14:paraId="48A463B1" w14:textId="77777777" w:rsidR="00ED33F8" w:rsidRDefault="00ED33F8" w:rsidP="00ED33F8">
      <w:r>
        <w:rPr>
          <w:rFonts w:ascii="Segoe UI Symbol" w:hAnsi="Segoe UI Symbol" w:cs="Segoe UI Symbol"/>
        </w:rPr>
        <w:t>⯀</w:t>
      </w:r>
      <w:r>
        <w:t xml:space="preserve"> efetuar o controle de todas as formas de crédito e dos capitais estrangeiro;</w:t>
      </w:r>
    </w:p>
    <w:p w14:paraId="13757581" w14:textId="77777777" w:rsidR="00ED33F8" w:rsidRDefault="00ED33F8" w:rsidP="00ED33F8">
      <w:r>
        <w:rPr>
          <w:rFonts w:ascii="Segoe UI Symbol" w:hAnsi="Segoe UI Symbol" w:cs="Segoe UI Symbol"/>
        </w:rPr>
        <w:t>⯀</w:t>
      </w:r>
      <w:r>
        <w:t xml:space="preserve"> fiscalizar e disciplinar as instituições financeiras e demais entidades autorizadas a operar pelo BACEN; </w:t>
      </w:r>
    </w:p>
    <w:p w14:paraId="011EF96D" w14:textId="77777777" w:rsidR="00ED33F8" w:rsidRDefault="00ED33F8" w:rsidP="00ED33F8">
      <w:r>
        <w:rPr>
          <w:rFonts w:ascii="Segoe UI Symbol" w:hAnsi="Segoe UI Symbol" w:cs="Segoe UI Symbol"/>
        </w:rPr>
        <w:t>⯀</w:t>
      </w:r>
      <w:r>
        <w:t xml:space="preserve"> conceder autorização de funcionamento às instituições financeiras; </w:t>
      </w:r>
    </w:p>
    <w:p w14:paraId="4BCA7D0C" w14:textId="77777777" w:rsidR="00ED33F8" w:rsidRDefault="00ED33F8" w:rsidP="00ED33F8">
      <w:r>
        <w:rPr>
          <w:rFonts w:ascii="Segoe UI Symbol" w:hAnsi="Segoe UI Symbol" w:cs="Segoe UI Symbol"/>
        </w:rPr>
        <w:t>⯀</w:t>
      </w:r>
      <w:r>
        <w:t xml:space="preserve"> estabelecer condições para a posse e para o exercício de quaisquer cargos de administração de instituições financeiras privadas; </w:t>
      </w:r>
    </w:p>
    <w:p w14:paraId="5FB314B3" w14:textId="77777777" w:rsidR="00ED33F8" w:rsidRDefault="00ED33F8" w:rsidP="00ED33F8">
      <w:r>
        <w:rPr>
          <w:rFonts w:ascii="Segoe UI Symbol" w:hAnsi="Segoe UI Symbol" w:cs="Segoe UI Symbol"/>
        </w:rPr>
        <w:t>⯀</w:t>
      </w:r>
      <w:r>
        <w:t xml:space="preserve"> decretar regimes especiais em instituições financeiras. </w:t>
      </w:r>
    </w:p>
    <w:p w14:paraId="2297F9A6" w14:textId="77777777" w:rsidR="00ED33F8" w:rsidRDefault="00ED33F8" w:rsidP="00ED33F8">
      <w:r>
        <w:rPr>
          <w:rFonts w:ascii="Segoe UI Symbol" w:hAnsi="Segoe UI Symbol" w:cs="Segoe UI Symbol"/>
        </w:rPr>
        <w:t>⯀</w:t>
      </w:r>
      <w:r>
        <w:t xml:space="preserve"> gerir o Sistema de Pagamento Brasileiro - SPB (vamos falar sobre o SBP ainda nesse módulo) e os serviços de meio circulante. </w:t>
      </w:r>
    </w:p>
    <w:p w14:paraId="317113CF" w14:textId="77777777" w:rsidR="00ED33F8" w:rsidRDefault="00ED33F8" w:rsidP="00ED33F8">
      <w:r>
        <w:t>Notou as palavras que estão em negrito? Essas são as palavras-chave que você pode associar ao BACEN. Ao comparar com o CMN, vai notar que enquanto o CMN disciplina o mercado, o BACEN executa normas que o mercado funcione como fora determinado pelo CMN.</w:t>
      </w:r>
    </w:p>
    <w:p w14:paraId="74D0975B" w14:textId="77777777" w:rsidR="00ED33F8" w:rsidRDefault="00ED33F8" w:rsidP="00ED33F8">
      <w:r>
        <w:t xml:space="preserve">Para o que BC (que é um outro jeito de chamar o BACEN) possa fiscalizar e supervisionar o mercado, serão usados documentos normativos </w:t>
      </w:r>
      <w:proofErr w:type="spellStart"/>
      <w:r>
        <w:t>dividos</w:t>
      </w:r>
      <w:proofErr w:type="spellEnd"/>
      <w:r>
        <w:t xml:space="preserve"> em três categorias</w:t>
      </w:r>
    </w:p>
    <w:p w14:paraId="4809A428" w14:textId="77777777" w:rsidR="00ED33F8" w:rsidRDefault="00ED33F8" w:rsidP="00ED33F8">
      <w:r>
        <w:rPr>
          <w:rFonts w:ascii="Segoe UI Symbol" w:hAnsi="Segoe UI Symbol" w:cs="Segoe UI Symbol"/>
        </w:rPr>
        <w:lastRenderedPageBreak/>
        <w:t>⯀</w:t>
      </w:r>
      <w:r>
        <w:t xml:space="preserve"> Circulares: atos normativos pelos quais o BACEN, por delegação, cria normas para o SFN ou, também por delegação, regulamenta as normas contidas em resoluções do CMN; </w:t>
      </w:r>
    </w:p>
    <w:p w14:paraId="46057D05" w14:textId="77777777" w:rsidR="00ED33F8" w:rsidRDefault="00ED33F8" w:rsidP="00ED33F8">
      <w:r>
        <w:rPr>
          <w:rFonts w:ascii="Segoe UI Symbol" w:hAnsi="Segoe UI Symbol" w:cs="Segoe UI Symbol"/>
        </w:rPr>
        <w:t>⯀</w:t>
      </w:r>
      <w:r>
        <w:t xml:space="preserve"> Cartas circulares: instrumentos para esclarecer dúvidas ou divergências quanto à interpretação e à aplicação de disposições normativas; </w:t>
      </w:r>
    </w:p>
    <w:p w14:paraId="2F4DFC40" w14:textId="7DB80167" w:rsidR="00ED33F8" w:rsidRDefault="00ED33F8" w:rsidP="00ED33F8">
      <w:r>
        <w:rPr>
          <w:rFonts w:ascii="Segoe UI Symbol" w:hAnsi="Segoe UI Symbol" w:cs="Segoe UI Symbol"/>
        </w:rPr>
        <w:t>⯀</w:t>
      </w:r>
      <w:r>
        <w:t xml:space="preserve"> Comunicados: documentos administrativos de âmbito externo, que têm por finalidade divulgar deliberação ou informação relacionada à área de atuação do BACEN. </w:t>
      </w:r>
    </w:p>
    <w:p w14:paraId="74622FC8" w14:textId="5C3530C0" w:rsidR="00ED33F8" w:rsidRDefault="00ED33F8" w:rsidP="00ED33F8">
      <w:r>
        <w:t>Agora que já falamos sobre o BACEN, vamos avançar um pouco mais em nossos conhecimentos sobre os órgãos reguladores</w:t>
      </w:r>
    </w:p>
    <w:p w14:paraId="7F9C2B29" w14:textId="50F2E2EF" w:rsidR="00ED33F8" w:rsidRDefault="00ED33F8" w:rsidP="00ED33F8">
      <w:r>
        <w:rPr>
          <w:noProof/>
        </w:rPr>
        <w:drawing>
          <wp:inline distT="0" distB="0" distL="0" distR="0" wp14:anchorId="0783170A" wp14:editId="2DF980A4">
            <wp:extent cx="5391150" cy="44862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4486275"/>
                    </a:xfrm>
                    <a:prstGeom prst="rect">
                      <a:avLst/>
                    </a:prstGeom>
                    <a:noFill/>
                    <a:ln>
                      <a:noFill/>
                    </a:ln>
                  </pic:spPr>
                </pic:pic>
              </a:graphicData>
            </a:graphic>
          </wp:inline>
        </w:drawing>
      </w:r>
    </w:p>
    <w:p w14:paraId="037BD735" w14:textId="77777777" w:rsidR="000A5D28" w:rsidRDefault="000A5D28" w:rsidP="000A5D28"/>
    <w:p w14:paraId="163EEBDD" w14:textId="77777777" w:rsidR="000A5D28" w:rsidRDefault="000A5D28" w:rsidP="000A5D28"/>
    <w:p w14:paraId="0BFEC95F" w14:textId="77777777" w:rsidR="000A5D28" w:rsidRDefault="000A5D28" w:rsidP="000A5D28"/>
    <w:p w14:paraId="70DD9475" w14:textId="77777777" w:rsidR="000A5D28" w:rsidRDefault="000A5D28" w:rsidP="000A5D28"/>
    <w:p w14:paraId="1C3C9E0F" w14:textId="77777777" w:rsidR="000A5D28" w:rsidRDefault="000A5D28" w:rsidP="000A5D28"/>
    <w:p w14:paraId="755552F1" w14:textId="77777777" w:rsidR="000A5D28" w:rsidRDefault="000A5D28" w:rsidP="000A5D28"/>
    <w:p w14:paraId="626A11A7" w14:textId="5C8855ED" w:rsidR="000A5D28" w:rsidRPr="00C8153E" w:rsidRDefault="000A5D28" w:rsidP="000A5D28">
      <w:pPr>
        <w:rPr>
          <w:b/>
          <w:bCs/>
        </w:rPr>
      </w:pPr>
      <w:r w:rsidRPr="00C8153E">
        <w:rPr>
          <w:b/>
          <w:bCs/>
        </w:rPr>
        <w:t>CVM – COMISSÃO DE VALORES MOBILIÁRIOS​</w:t>
      </w:r>
    </w:p>
    <w:p w14:paraId="5C1EED11" w14:textId="77777777" w:rsidR="000A5D28" w:rsidRDefault="000A5D28" w:rsidP="000A5D28">
      <w:r>
        <w:lastRenderedPageBreak/>
        <w:t>A Comissão de Valores Mobiliários (CVM) é uma entidade autárquica vinculada ao Ministério da Economia, dotada de personalidade jurídica e patrimônio próprio, com as finalidades previstas na Lei no 6.385, de 07 de dezembro de 1976 e na Lei no 6.404, de 15 de dezembro de 1976, no presente Regimento Interno, e nas demais disposições legais e complementares aplicáveis</w:t>
      </w:r>
    </w:p>
    <w:p w14:paraId="37213612" w14:textId="173C08C1" w:rsidR="000A5D28" w:rsidRDefault="000A5D28" w:rsidP="000A5D28">
      <w:r>
        <w:t>Finalidade da CVM:</w:t>
      </w:r>
    </w:p>
    <w:p w14:paraId="56861C64" w14:textId="77777777" w:rsidR="000A5D28" w:rsidRDefault="000A5D28" w:rsidP="000A5D28">
      <w:r>
        <w:t xml:space="preserve">I. estimular a formação de poupanças e a sua aplicação em valores mobiliários; </w:t>
      </w:r>
    </w:p>
    <w:p w14:paraId="6F22184E" w14:textId="77777777" w:rsidR="000A5D28" w:rsidRDefault="000A5D28" w:rsidP="000A5D28">
      <w:r>
        <w:t>II. promover a expansão e o funcionamento eficiente e regular do mercado de ações, e estimular as aplicações permanentes em ações do capital social de companhias abertas sob controle de capitais privados nacionais;</w:t>
      </w:r>
    </w:p>
    <w:p w14:paraId="6E7D7881" w14:textId="2DE988E9" w:rsidR="000A5D28" w:rsidRDefault="000A5D28" w:rsidP="000A5D28">
      <w:r>
        <w:t>III. assegurar o funcionamento eficiente e regular dos mercados da Bolsa de balcão;</w:t>
      </w:r>
    </w:p>
    <w:p w14:paraId="2A00B419" w14:textId="73361733" w:rsidR="000A5D28" w:rsidRDefault="000A5D28" w:rsidP="000A5D28">
      <w:r>
        <w:t xml:space="preserve">IV. proteger os titulares de valores mobiliários e os investidores do mercado conta: </w:t>
      </w:r>
    </w:p>
    <w:p w14:paraId="2F787B18" w14:textId="77777777" w:rsidR="000A5D28" w:rsidRDefault="000A5D28" w:rsidP="000A5D28">
      <w:r>
        <w:t>i. emissões irregulares de valores mobiliários;</w:t>
      </w:r>
    </w:p>
    <w:p w14:paraId="5A75AA67" w14:textId="7D250772" w:rsidR="000A5D28" w:rsidRDefault="000A5D28" w:rsidP="000A5D28">
      <w:proofErr w:type="spellStart"/>
      <w:r>
        <w:t>ii</w:t>
      </w:r>
      <w:proofErr w:type="spellEnd"/>
      <w:r>
        <w:t>. atos ilegais de administradores e acionistas controladores das companhias abertas, ou de administradores de carteira de valores mobiliários;</w:t>
      </w:r>
    </w:p>
    <w:p w14:paraId="2AE304AC" w14:textId="77777777" w:rsidR="000A5D28" w:rsidRDefault="000A5D28" w:rsidP="000A5D28">
      <w:r>
        <w:t>V. evitar ou coibir modalidade de fraude ou manipulação destinadas a criar condições artificiais de demanda, oferta ou preço dos valores mobiliários negociados no mercado;</w:t>
      </w:r>
    </w:p>
    <w:p w14:paraId="7C3A4540" w14:textId="6B154ACA" w:rsidR="000A5D28" w:rsidRDefault="000A5D28" w:rsidP="000A5D28">
      <w:r>
        <w:t xml:space="preserve">VI. assegurar o acesso do público à informações sobre os valores mobiliários negociados e às companhias que os tenham emitido; </w:t>
      </w:r>
    </w:p>
    <w:p w14:paraId="549C90D6" w14:textId="77777777" w:rsidR="000A5D28" w:rsidRDefault="000A5D28" w:rsidP="000A5D28">
      <w:r>
        <w:t xml:space="preserve">VII. assegurar a observância de práticas comerciais </w:t>
      </w:r>
      <w:proofErr w:type="spellStart"/>
      <w:r>
        <w:t>eqüitativas</w:t>
      </w:r>
      <w:proofErr w:type="spellEnd"/>
      <w:r>
        <w:t xml:space="preserve"> no mercado de valores mobiliários; </w:t>
      </w:r>
    </w:p>
    <w:p w14:paraId="1DDDCEE9" w14:textId="77777777" w:rsidR="000A5D28" w:rsidRDefault="000A5D28" w:rsidP="000A5D28">
      <w:r>
        <w:t xml:space="preserve">VIII. assegurar a observância, no mercado, das condições de utilização de crédito fixadas pelo Conselho Monetário Nacional; </w:t>
      </w:r>
    </w:p>
    <w:p w14:paraId="760298EB" w14:textId="77777777" w:rsidR="000A5D28" w:rsidRDefault="000A5D28" w:rsidP="000A5D28">
      <w:r>
        <w:t xml:space="preserve">IX. promover, disciplinar e fiscalizar a internacionalização do mercado de valores mobiliários, sem prejuízo da competência do Banco Central do Brasil no tocante à entrada e saída de recursos do País; * (Redação dada pela Portaria 312/88, de 16/09/88) </w:t>
      </w:r>
    </w:p>
    <w:p w14:paraId="1C8E1D89" w14:textId="77777777" w:rsidR="000A5D28" w:rsidRDefault="000A5D28" w:rsidP="000A5D28">
      <w:r>
        <w:t xml:space="preserve">X. cumprir e fazer cumprir as deliberações do Conselho Monetário Nacional, e exercer as atividades que por este lhe forem delegadas.  </w:t>
      </w:r>
    </w:p>
    <w:p w14:paraId="10F8BBE6" w14:textId="71287E77" w:rsidR="00ED33F8" w:rsidRDefault="000A5D28" w:rsidP="000A5D28">
      <w:r>
        <w:t>Note que aqui não há nenhuma palavra em negrito porque eu não quero viciar você. Mas quero destacar aqui que o principal papel da CVM é zelar pelo funcionamento eficiente, pela integralidade e pelo desenvolvimento do mercado de capitais, promovendo o equilíbrio entre iniciativa dos agentes e a efetiva proteção dos investidores.</w:t>
      </w:r>
    </w:p>
    <w:p w14:paraId="39889CEF" w14:textId="655BCC54" w:rsidR="000A5D28" w:rsidRDefault="000A5D28" w:rsidP="000A5D28">
      <w:r>
        <w:rPr>
          <w:noProof/>
        </w:rPr>
        <w:lastRenderedPageBreak/>
        <w:drawing>
          <wp:inline distT="0" distB="0" distL="0" distR="0" wp14:anchorId="2CFDF97C" wp14:editId="0174905C">
            <wp:extent cx="5343525" cy="3496164"/>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48377" cy="3499338"/>
                    </a:xfrm>
                    <a:prstGeom prst="rect">
                      <a:avLst/>
                    </a:prstGeom>
                    <a:noFill/>
                    <a:ln>
                      <a:noFill/>
                    </a:ln>
                  </pic:spPr>
                </pic:pic>
              </a:graphicData>
            </a:graphic>
          </wp:inline>
        </w:drawing>
      </w:r>
    </w:p>
    <w:p w14:paraId="66418022" w14:textId="77777777" w:rsidR="00291FBA" w:rsidRPr="00C8153E" w:rsidRDefault="00291FBA" w:rsidP="00291FBA">
      <w:pPr>
        <w:rPr>
          <w:b/>
          <w:bCs/>
        </w:rPr>
      </w:pPr>
      <w:r w:rsidRPr="00C8153E">
        <w:rPr>
          <w:b/>
          <w:bCs/>
        </w:rPr>
        <w:t>​SUPERINTENDÊNCIA DE SEGUROS PRIVADOS (SUSEP) ​</w:t>
      </w:r>
    </w:p>
    <w:p w14:paraId="3FD72EF2" w14:textId="77777777" w:rsidR="00291FBA" w:rsidRDefault="00291FBA" w:rsidP="00291FBA">
      <w:r>
        <w:t>A Susep é uma autarquia federal vinculada ao Ministério da Economia com objetivo de controlar e fiscalizar os mercados de seguro, Previdência Complementar Aberta, capitalização e resseguro</w:t>
      </w:r>
    </w:p>
    <w:p w14:paraId="168B9587" w14:textId="77777777" w:rsidR="00291FBA" w:rsidRDefault="00291FBA" w:rsidP="00291FBA">
      <w:r>
        <w:t xml:space="preserve">Antes de seguirmos com a Susep, permita-me fazer uma pausa rápida para apresentar mais um órgão, o CNSP. O Conselho Nacional de Seguros Privados é a maior autoridade no mercado de seguros privados, e a própria Susep está vinculada a ele. </w:t>
      </w:r>
    </w:p>
    <w:p w14:paraId="46D01E4C" w14:textId="77777777" w:rsidR="00291FBA" w:rsidRDefault="00291FBA" w:rsidP="00291FBA">
      <w:r>
        <w:t xml:space="preserve">Mas, não se preocupe, CNPS não é tema de prova. Contudo, é importante você conhecê-lo. </w:t>
      </w:r>
    </w:p>
    <w:p w14:paraId="2C6291A4" w14:textId="77777777" w:rsidR="00291FBA" w:rsidRDefault="00291FBA" w:rsidP="00291FBA">
      <w:r>
        <w:t>Voltando à Susep.</w:t>
      </w:r>
    </w:p>
    <w:p w14:paraId="5303D02A" w14:textId="77777777" w:rsidR="00291FBA" w:rsidRDefault="00291FBA" w:rsidP="00291FBA">
      <w:r>
        <w:t>A Susep é administrada por um conselho diretor, composto pelo superintendente e por quatro diretores, todos nomeados pelo presidente da República. Dentre as principais atribuições e competências da Susep, destacam-se:</w:t>
      </w:r>
    </w:p>
    <w:p w14:paraId="70A575F0" w14:textId="77777777" w:rsidR="00291FBA" w:rsidRDefault="00291FBA" w:rsidP="00291FBA">
      <w:r>
        <w:rPr>
          <w:rFonts w:ascii="Segoe UI Symbol" w:hAnsi="Segoe UI Symbol" w:cs="Segoe UI Symbol"/>
        </w:rPr>
        <w:t>⯀</w:t>
      </w:r>
      <w:r>
        <w:t xml:space="preserve"> fiscalizar a constituição, organização, funcionamento e operação das sociedades seguradoras, de capitalização, entidades de previdência complementar aberta e resseguradores; </w:t>
      </w:r>
    </w:p>
    <w:p w14:paraId="5A57ACC2" w14:textId="6CA77E4E" w:rsidR="00291FBA" w:rsidRDefault="00291FBA" w:rsidP="00291FBA">
      <w:r>
        <w:rPr>
          <w:rFonts w:ascii="Segoe UI Symbol" w:hAnsi="Segoe UI Symbol" w:cs="Segoe UI Symbol"/>
        </w:rPr>
        <w:t>⯀</w:t>
      </w:r>
      <w:r>
        <w:t xml:space="preserve"> proteger a captação de poupança popular realizada por meio de operações de seguro, previdência complementar aberta, de capitalização e resseguro;</w:t>
      </w:r>
    </w:p>
    <w:p w14:paraId="2F2ADD3A" w14:textId="0FB6AC5C" w:rsidR="00291FBA" w:rsidRDefault="00291FBA" w:rsidP="00291FBA">
      <w:r>
        <w:rPr>
          <w:rFonts w:ascii="Segoe UI Symbol" w:hAnsi="Segoe UI Symbol" w:cs="Segoe UI Symbol"/>
        </w:rPr>
        <w:t>⯀</w:t>
      </w:r>
      <w:r>
        <w:t xml:space="preserve"> zelar pela defesa dos interesses dos consumidores dos mercados supervisionados; </w:t>
      </w:r>
    </w:p>
    <w:p w14:paraId="35DF1CDA" w14:textId="77777777" w:rsidR="00291FBA" w:rsidRDefault="00291FBA" w:rsidP="00291FBA">
      <w:r>
        <w:rPr>
          <w:rFonts w:ascii="Segoe UI Symbol" w:hAnsi="Segoe UI Symbol" w:cs="Segoe UI Symbol"/>
        </w:rPr>
        <w:t>⯀</w:t>
      </w:r>
      <w:r>
        <w:t xml:space="preserve"> promover o aperfeiçoamento das instituições e dos instrumentos operacionais a eles vinculados, com vistas à maior eficiência do Sistema Nacional de Seguros Privados e do Sistema Nacional de Capitalização;</w:t>
      </w:r>
    </w:p>
    <w:p w14:paraId="21FB114B" w14:textId="77777777" w:rsidR="00291FBA" w:rsidRDefault="00291FBA" w:rsidP="00291FBA">
      <w:r>
        <w:lastRenderedPageBreak/>
        <w:t xml:space="preserve"> </w:t>
      </w:r>
      <w:r>
        <w:rPr>
          <w:rFonts w:ascii="Segoe UI Symbol" w:hAnsi="Segoe UI Symbol" w:cs="Segoe UI Symbol"/>
        </w:rPr>
        <w:t>⯀</w:t>
      </w:r>
      <w:r>
        <w:t xml:space="preserve"> promover a estabilidade dos mercados sob sua jurisdição, zelando pela liquidez e solvência das sociedades que integram o mercado; </w:t>
      </w:r>
    </w:p>
    <w:p w14:paraId="39675109" w14:textId="77777777" w:rsidR="00291FBA" w:rsidRDefault="00291FBA" w:rsidP="00291FBA">
      <w:r>
        <w:rPr>
          <w:rFonts w:ascii="Segoe UI Symbol" w:hAnsi="Segoe UI Symbol" w:cs="Segoe UI Symbol"/>
        </w:rPr>
        <w:t>⯀</w:t>
      </w:r>
      <w:r>
        <w:t xml:space="preserve"> disciplinar e acompanhar os investimentos daquelas entidades, em especial os efetuados em bens garantidores de provisões técnicas; </w:t>
      </w:r>
    </w:p>
    <w:p w14:paraId="508F3CAC" w14:textId="77777777" w:rsidR="00291FBA" w:rsidRDefault="00291FBA" w:rsidP="00291FBA">
      <w:r>
        <w:rPr>
          <w:rFonts w:ascii="Segoe UI Symbol" w:hAnsi="Segoe UI Symbol" w:cs="Segoe UI Symbol"/>
        </w:rPr>
        <w:t>⯀</w:t>
      </w:r>
      <w:r>
        <w:t xml:space="preserve"> investigar e punir descumprimentos à regulação de mercados de seguro e previdência complementar aberta;</w:t>
      </w:r>
    </w:p>
    <w:p w14:paraId="187CC2B6" w14:textId="7F342D31" w:rsidR="00291FBA" w:rsidRDefault="00291FBA" w:rsidP="00291FBA">
      <w:r>
        <w:t xml:space="preserve"> </w:t>
      </w:r>
      <w:r>
        <w:rPr>
          <w:rFonts w:ascii="Segoe UI Symbol" w:hAnsi="Segoe UI Symbol" w:cs="Segoe UI Symbol"/>
        </w:rPr>
        <w:t>⯀</w:t>
      </w:r>
      <w:r>
        <w:t xml:space="preserve"> cumprir e fazer cumprir as deliberações do CNSP; </w:t>
      </w:r>
    </w:p>
    <w:p w14:paraId="0DBA9832" w14:textId="16AA5EEB" w:rsidR="000A5D28" w:rsidRDefault="00291FBA" w:rsidP="00291FBA">
      <w:r>
        <w:t>A SUSEP protege os investidores, o que muda aqui é que a ela vai supervisionar os mercados de seguros privados, previdência e capitalização, garantido que quando seu cliente investir em uma previdência privada, ele esteja investindo em um produto regulamentado.</w:t>
      </w:r>
    </w:p>
    <w:p w14:paraId="2108120C" w14:textId="64037A92" w:rsidR="00291FBA" w:rsidRDefault="00291FBA" w:rsidP="00291FBA">
      <w:r>
        <w:rPr>
          <w:noProof/>
        </w:rPr>
        <w:drawing>
          <wp:inline distT="0" distB="0" distL="0" distR="0" wp14:anchorId="5F33BA4F" wp14:editId="0499697F">
            <wp:extent cx="5400040" cy="315214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3152140"/>
                    </a:xfrm>
                    <a:prstGeom prst="rect">
                      <a:avLst/>
                    </a:prstGeom>
                    <a:noFill/>
                    <a:ln>
                      <a:noFill/>
                    </a:ln>
                  </pic:spPr>
                </pic:pic>
              </a:graphicData>
            </a:graphic>
          </wp:inline>
        </w:drawing>
      </w:r>
    </w:p>
    <w:p w14:paraId="2E3FD9A0" w14:textId="77777777" w:rsidR="00C8153E" w:rsidRDefault="00C8153E" w:rsidP="00C8153E"/>
    <w:p w14:paraId="0E6B76ED" w14:textId="0F7F4151" w:rsidR="00C8153E" w:rsidRPr="00C8153E" w:rsidRDefault="00C8153E" w:rsidP="00C8153E">
      <w:pPr>
        <w:rPr>
          <w:b/>
          <w:bCs/>
        </w:rPr>
      </w:pPr>
      <w:r w:rsidRPr="00C8153E">
        <w:rPr>
          <w:b/>
          <w:bCs/>
        </w:rPr>
        <w:t xml:space="preserve">Código </w:t>
      </w:r>
      <w:proofErr w:type="spellStart"/>
      <w:r w:rsidRPr="00C8153E">
        <w:rPr>
          <w:b/>
          <w:bCs/>
        </w:rPr>
        <w:t>Anbima</w:t>
      </w:r>
      <w:proofErr w:type="spellEnd"/>
      <w:r w:rsidRPr="00C8153E">
        <w:rPr>
          <w:b/>
          <w:bCs/>
        </w:rPr>
        <w:t xml:space="preserve"> Melhores Práticas de Certificação Continuada (Ca</w:t>
      </w:r>
      <w:r>
        <w:rPr>
          <w:b/>
          <w:bCs/>
        </w:rPr>
        <w:t>p</w:t>
      </w:r>
      <w:r w:rsidRPr="00C8153E">
        <w:rPr>
          <w:b/>
          <w:bCs/>
        </w:rPr>
        <w:t xml:space="preserve"> II e Cap IV)</w:t>
      </w:r>
    </w:p>
    <w:p w14:paraId="00794233" w14:textId="3FBB45A4" w:rsidR="00C8153E" w:rsidRDefault="00C8153E" w:rsidP="00C8153E">
      <w:r>
        <w:t>PRINCÍPIOS GERAIS DE CONDUTA</w:t>
      </w:r>
    </w:p>
    <w:p w14:paraId="1B3BAD59" w14:textId="77777777" w:rsidR="00C8153E" w:rsidRDefault="00C8153E" w:rsidP="00C8153E">
      <w:r>
        <w:t>As Instituições Participantes devem assegurar que seus profissionais:</w:t>
      </w:r>
    </w:p>
    <w:p w14:paraId="551D8A46" w14:textId="77777777" w:rsidR="00C8153E" w:rsidRDefault="00C8153E" w:rsidP="00C8153E">
      <w:r>
        <w:t>I. Possuam reputação limpa - ficha limpa; II. Exerçam suas atividades com boa fé, transparência, cuidado e lealdade;</w:t>
      </w:r>
    </w:p>
    <w:p w14:paraId="353EAA84" w14:textId="43440DC2" w:rsidR="00C8153E" w:rsidRDefault="00C8153E" w:rsidP="00C8153E">
      <w:r>
        <w:t>III. Cumpram todas as suas obrigações, como fosse seus próprios negócios, respon­dendo por quaisquer infrações ou irregularidades que venham a ser cometidas;</w:t>
      </w:r>
    </w:p>
    <w:p w14:paraId="402046DF" w14:textId="77777777" w:rsidR="00C8153E" w:rsidRDefault="00C8153E" w:rsidP="00C8153E">
      <w:r>
        <w:t>IV. Objetivar que seus afazeres estejam sob os princípios da liberdade de iniciativa e da livre concorrência, evitando a práticas caracterizadoras de concorrência desleal e/ou de condições não igualitárias, respeitando os princípios de livre negociação;</w:t>
      </w:r>
    </w:p>
    <w:p w14:paraId="3E391C77" w14:textId="77777777" w:rsidR="00C8153E" w:rsidRDefault="00C8153E" w:rsidP="00C8153E">
      <w:r>
        <w:t>V. Evitar quaisquer práticas que infrinjam ou conflitam com as regras e princípios contidos neste Código e na Regulação em vigor;</w:t>
      </w:r>
    </w:p>
    <w:p w14:paraId="6B47B7FE" w14:textId="77777777" w:rsidR="00C8153E" w:rsidRDefault="00C8153E" w:rsidP="00C8153E">
      <w:r>
        <w:lastRenderedPageBreak/>
        <w:t>VI. Adotar condutas compatíveis com os princípios de honestidade moral e profissional;</w:t>
      </w:r>
    </w:p>
    <w:p w14:paraId="473EFB73" w14:textId="77777777" w:rsidR="00C8153E" w:rsidRDefault="00C8153E" w:rsidP="00C8153E">
      <w:r>
        <w:t>VII. Impedem a intermediação de investimentos ilegais e não participem de qualquer negócio fraudulentos ou corruptos, manipulação ou distorção de preços, declara­</w:t>
      </w:r>
    </w:p>
    <w:p w14:paraId="211D5122" w14:textId="77777777" w:rsidR="00C8153E" w:rsidRDefault="00C8153E" w:rsidP="00C8153E">
      <w:r>
        <w:t>VIII. Sejam responsáveis e não contribuam para a veiculação ou circulação de notícias ou de informações falsas ou imprecisas sobre o mercado financeiro e de capitais; e declara­ções falsas ou lesão aos direitos de investidores;</w:t>
      </w:r>
    </w:p>
    <w:p w14:paraId="6465844C" w14:textId="77777777" w:rsidR="00C8153E" w:rsidRDefault="00C8153E" w:rsidP="00C8153E">
      <w:r>
        <w:t>IX. Zelar para que não sejam dadas informações imprecisas a respeito das atividades que é capaz de prestar, como também sobre suas qualificações, seus títulos aca­dêmicos e experiência profissional.</w:t>
      </w:r>
    </w:p>
    <w:p w14:paraId="5286C7E2" w14:textId="77777777" w:rsidR="00C8153E" w:rsidRDefault="00C8153E" w:rsidP="00C8153E">
      <w:r>
        <w:t>As Instituições Participantes devem assegurar que seus profissionais, no exercício de suas atividades, não tenham:</w:t>
      </w:r>
    </w:p>
    <w:p w14:paraId="2FFC8A21" w14:textId="77777777" w:rsidR="00C8153E" w:rsidRDefault="00C8153E" w:rsidP="00C8153E">
      <w:r>
        <w:t>I. Sido inabilitados exercer funções em instituições financeiras autorizadas pelo BACEN, CVM, pela Superintendência Nacional de Previdência Complementar ou pela Superintendência de Seguros Privados;</w:t>
      </w:r>
    </w:p>
    <w:p w14:paraId="287160E4" w14:textId="77777777" w:rsidR="00C8153E" w:rsidRDefault="00C8153E" w:rsidP="00C8153E">
      <w:r>
        <w:t>II. Sua autorização suspensa, cassada ou cancelada; e/ou</w:t>
      </w:r>
    </w:p>
    <w:p w14:paraId="63F1E0B3" w14:textId="24D0A76A" w:rsidR="00C8153E" w:rsidRDefault="00C8153E" w:rsidP="00C8153E">
      <w:r>
        <w:t>III. Sofrido punição definitiva, nos últimos cinco anos, por sua atuação como adminis­trador ou membro de conselho fiscal de entidade sujeita ao controle e fiscalização dos órgãos reguladores mencionados anteriormente.</w:t>
      </w:r>
    </w:p>
    <w:p w14:paraId="51460FB7" w14:textId="77777777" w:rsidR="00C8153E" w:rsidRDefault="00C8153E" w:rsidP="00C8153E">
      <w:r>
        <w:t>São considerados descumprimento às obrigações e princípios deste Código não apenas a inexistência das regras e procedimentos exigidos, mas também a não implementação ou implementação inadequada para os fins previstos no código.</w:t>
      </w:r>
    </w:p>
    <w:p w14:paraId="2B6A4506" w14:textId="77777777" w:rsidR="00C8153E" w:rsidRDefault="00C8153E" w:rsidP="00C8153E">
      <w:r>
        <w:t>São evidências de implementação inadequada das regras e procedimentos previstos no Código:</w:t>
      </w:r>
    </w:p>
    <w:p w14:paraId="005219F7" w14:textId="77777777" w:rsidR="00C8153E" w:rsidRDefault="00C8153E" w:rsidP="00C8153E">
      <w:r>
        <w:t>I. A repetida ocorrência de falhas, não resolvidas nos prazos estabelecidos; e</w:t>
      </w:r>
    </w:p>
    <w:p w14:paraId="43FB7715" w14:textId="48A37ECB" w:rsidR="00C8153E" w:rsidRDefault="00C8153E" w:rsidP="00C8153E">
      <w:r>
        <w:t>II. A ausência de mecanismo ou evidência que demonstre a aplicação dos procedi­mentos estabelecidos por este Código.</w:t>
      </w:r>
    </w:p>
    <w:p w14:paraId="1E703226" w14:textId="38A26257" w:rsidR="00C8153E" w:rsidRDefault="00C8153E" w:rsidP="00C8153E">
      <w:r>
        <w:t>QUALIFICAÇÃO E TREINAMENTO</w:t>
      </w:r>
    </w:p>
    <w:p w14:paraId="748231AA" w14:textId="73B36279" w:rsidR="00291FBA" w:rsidRDefault="00C8153E" w:rsidP="00C8153E">
      <w:r>
        <w:t>As instituições devem empenhar-se permanentemente para o aperfeiçoamento de seus profissionais, capacitando-os e fornecendo constante atualização sobre as regras e normas aplicáveis às suas atividades.</w:t>
      </w:r>
    </w:p>
    <w:p w14:paraId="326431B1" w14:textId="77777777" w:rsidR="00C8153E" w:rsidRPr="00C8153E" w:rsidRDefault="00C8153E" w:rsidP="00C8153E">
      <w:pPr>
        <w:rPr>
          <w:b/>
          <w:bCs/>
        </w:rPr>
      </w:pPr>
      <w:proofErr w:type="spellStart"/>
      <w:r w:rsidRPr="00C8153E">
        <w:rPr>
          <w:b/>
          <w:bCs/>
        </w:rPr>
        <w:t>Previc</w:t>
      </w:r>
      <w:proofErr w:type="spellEnd"/>
      <w:r w:rsidRPr="00C8153E">
        <w:rPr>
          <w:b/>
          <w:bCs/>
        </w:rPr>
        <w:t xml:space="preserve"> - </w:t>
      </w:r>
      <w:proofErr w:type="spellStart"/>
      <w:r w:rsidRPr="00C8153E">
        <w:rPr>
          <w:b/>
          <w:bCs/>
        </w:rPr>
        <w:t>Superintendência</w:t>
      </w:r>
      <w:proofErr w:type="spellEnd"/>
      <w:r w:rsidRPr="00C8153E">
        <w:rPr>
          <w:b/>
          <w:bCs/>
        </w:rPr>
        <w:t xml:space="preserve"> Nacional de </w:t>
      </w:r>
      <w:proofErr w:type="spellStart"/>
      <w:r w:rsidRPr="00C8153E">
        <w:rPr>
          <w:b/>
          <w:bCs/>
        </w:rPr>
        <w:t>Previdência</w:t>
      </w:r>
      <w:proofErr w:type="spellEnd"/>
      <w:r w:rsidRPr="00C8153E">
        <w:rPr>
          <w:b/>
          <w:bCs/>
        </w:rPr>
        <w:t xml:space="preserve"> Complementar</w:t>
      </w:r>
    </w:p>
    <w:p w14:paraId="66CE22E3" w14:textId="77777777" w:rsidR="00C8153E" w:rsidRDefault="00C8153E" w:rsidP="00C8153E">
      <w:r>
        <w:t xml:space="preserve">Nós falamos sobre a Susep no tópico anterior e, se você entendeu as funções dela, vai ficar fácil entender a função da PREVIC. </w:t>
      </w:r>
    </w:p>
    <w:p w14:paraId="3A1EDF4B" w14:textId="77777777" w:rsidR="00C8153E" w:rsidRDefault="00C8153E" w:rsidP="00C8153E">
      <w:r>
        <w:t>Lembra que uma das funções da Susep é fiscalizar as Entidades abertas de Previdência Complementar? Se a Susep fiscaliza as entidades abertas, quem fiscaliza as entidades fechadas? Acertou se você respondeu PREVIC</w:t>
      </w:r>
    </w:p>
    <w:p w14:paraId="555C812E" w14:textId="77777777" w:rsidR="00C8153E" w:rsidRDefault="00C8153E" w:rsidP="00C8153E">
      <w:r>
        <w:t>Deixa eu fazer mais um break para uma introdução sobre as entidades de Previdência Complementar</w:t>
      </w:r>
    </w:p>
    <w:p w14:paraId="6F2104BD" w14:textId="77777777" w:rsidR="00C8153E" w:rsidRDefault="00C8153E" w:rsidP="00C8153E">
      <w:r>
        <w:lastRenderedPageBreak/>
        <w:t xml:space="preserve">Bem, nos anos de 2017 e 2018, uma das principais pautas do Governo Federal era propor ao Congresso uma reforma da Previdência Social. Isso trouxe para as discussões nas mesas de bar e nas redes sociais o INSS. No módulo 6, nós vamos falar com detalhes sobre o INSS, mas o fato é que o INSS possui um teto de recebimento para o trabalhador. </w:t>
      </w:r>
    </w:p>
    <w:p w14:paraId="348288F8" w14:textId="77777777" w:rsidR="00C8153E" w:rsidRDefault="00C8153E" w:rsidP="00C8153E">
      <w:r>
        <w:t>Por mais que você, enquanto está trabalhando, tenha uma renda alta, se depender do INSS, ao se aposentar você terá somente o teto estabelecido pelo sistema. Para complementar a renda, além a da aposentadoria, o trabalhador pode fazer, entre outras coisas, uma Previdência Complementar. Essa pode ser aberta (VGBL e PGBL), que qualquer investidor pode acessar, ou fechada.</w:t>
      </w:r>
    </w:p>
    <w:p w14:paraId="78BE2C7C" w14:textId="77777777" w:rsidR="00C8153E" w:rsidRDefault="00C8153E" w:rsidP="00C8153E">
      <w:r>
        <w:t>A Previdência Fechada, como o nome sugere, é um plano restrito a um grupo de trabalhadores, normalmente colaboradores de uma mesma empresa. Já a Previdência Aberta são caracterizadas por ser VGBL ou PGBL. Além de, possuírem o objetivo de complementar os benefícios oferecidos por outros planos</w:t>
      </w:r>
    </w:p>
    <w:p w14:paraId="2E296E09" w14:textId="77777777" w:rsidR="00C8153E" w:rsidRDefault="00C8153E" w:rsidP="00C8153E">
      <w:r>
        <w:t>Compreendido a necessidade de um plano de Previdência Complementar e a diferença entre uma Previdência Complementar Aberta e uma Fechada, podemos resumir a PREVIC da seguinte forma:</w:t>
      </w:r>
    </w:p>
    <w:p w14:paraId="6E4A2E37" w14:textId="77777777" w:rsidR="00C8153E" w:rsidRDefault="00C8153E" w:rsidP="00C8153E">
      <w:r>
        <w:t>A PREVIC está para a Previdência Complementar Fechada, assim como a Susep está para a Previdência Complementar Aberta.</w:t>
      </w:r>
    </w:p>
    <w:p w14:paraId="47645E8C" w14:textId="77777777" w:rsidR="00C8153E" w:rsidRDefault="00C8153E" w:rsidP="00C8153E">
      <w:r>
        <w:t>Ela é uma autarquia vinculada ao Ministério da Economia. Também fiscaliza e supervisiona as atividades das entidades fechadas de Previdência Complementar, do mesmo modo como a execução das políticas para o regime de Previdência Complementar operado por essas entidades.</w:t>
      </w:r>
    </w:p>
    <w:p w14:paraId="460C0BF7" w14:textId="77777777" w:rsidR="00C8153E" w:rsidRDefault="00C8153E" w:rsidP="00C8153E">
      <w:r>
        <w:t>A Diretoria Colegiada da PREVIC é composta por um Diretor-Superintendente e quatro Diretores, escolhidos entre pessoas de boa reputação e competência a serem indicados pelo Ministro de Estado da Previdência Social e nomeados pelo Presidente da República.</w:t>
      </w:r>
    </w:p>
    <w:p w14:paraId="7C0ED9CB" w14:textId="77777777" w:rsidR="00C8153E" w:rsidRDefault="00C8153E" w:rsidP="00C8153E">
      <w:r>
        <w:t>Principais atribuições da PREVIC:</w:t>
      </w:r>
    </w:p>
    <w:p w14:paraId="302C823C" w14:textId="77777777" w:rsidR="00C8153E" w:rsidRDefault="00C8153E" w:rsidP="00C8153E">
      <w:r>
        <w:t xml:space="preserve"> proceder à fiscalização das atividades das entidades fechadas de previdência complementar e das suas operações;</w:t>
      </w:r>
    </w:p>
    <w:p w14:paraId="590AB881" w14:textId="101C5C1B" w:rsidR="00C8153E" w:rsidRDefault="00C8153E" w:rsidP="00C8153E">
      <w:r>
        <w:rPr>
          <w:rFonts w:ascii="Segoe UI Symbol" w:hAnsi="Segoe UI Symbol" w:cs="Segoe UI Symbol"/>
        </w:rPr>
        <w:t>⯀</w:t>
      </w:r>
      <w:r>
        <w:t xml:space="preserve"> apurar e julgar as infrações e aplicar as penalidades cabíveis; </w:t>
      </w:r>
    </w:p>
    <w:p w14:paraId="5836D5D4" w14:textId="77777777" w:rsidR="00C8153E" w:rsidRDefault="00C8153E" w:rsidP="00C8153E">
      <w:r>
        <w:rPr>
          <w:rFonts w:ascii="Segoe UI Symbol" w:hAnsi="Segoe UI Symbol" w:cs="Segoe UI Symbol"/>
        </w:rPr>
        <w:t>⯀</w:t>
      </w:r>
      <w:r>
        <w:t xml:space="preserve"> expedir instruções e estabelecer procedimentos para a aplicação das normas relativas à sua área de competência; </w:t>
      </w:r>
    </w:p>
    <w:p w14:paraId="44E2D22F" w14:textId="77777777" w:rsidR="00C8153E" w:rsidRDefault="00C8153E" w:rsidP="00C8153E">
      <w:r>
        <w:rPr>
          <w:rFonts w:ascii="Segoe UI Symbol" w:hAnsi="Segoe UI Symbol" w:cs="Segoe UI Symbol"/>
        </w:rPr>
        <w:t>⯀</w:t>
      </w:r>
      <w:r>
        <w:t xml:space="preserve"> autorizar: a constituição e o funcionamento das entidades fechadas de previdência complementar e a aplicação dos respectivos estatutos e dos regulamentos de planos de benefícios; as operações de fusão, cisão, incorporação ou qualquer outra forma de reorganização societária, relativas às entidades fechadas de previdência complementar; a celebração de convênios e termos de adesão por patrocinadores e instituidores e as retiradas de patrocinadores e instituidores; e as transferências de patrocínio, grupos de participantes e assistidos, planos de benefícios e reservas entre entidades fechadas de previdência complementar;</w:t>
      </w:r>
    </w:p>
    <w:p w14:paraId="755F1D85" w14:textId="77777777" w:rsidR="00C8153E" w:rsidRDefault="00C8153E" w:rsidP="00C8153E">
      <w:r>
        <w:rPr>
          <w:rFonts w:ascii="Segoe UI Symbol" w:hAnsi="Segoe UI Symbol" w:cs="Segoe UI Symbol"/>
        </w:rPr>
        <w:t>⯀</w:t>
      </w:r>
      <w:r>
        <w:t xml:space="preserve"> harmonizar as atividades das entidades fechadas de previdência complementar com as normas e as políticas estabelecidas para o segmento; </w:t>
      </w:r>
    </w:p>
    <w:p w14:paraId="07832941" w14:textId="59ADA350" w:rsidR="00C8153E" w:rsidRDefault="00C8153E" w:rsidP="00C8153E">
      <w:r>
        <w:rPr>
          <w:rFonts w:ascii="Segoe UI Symbol" w:hAnsi="Segoe UI Symbol" w:cs="Segoe UI Symbol"/>
        </w:rPr>
        <w:lastRenderedPageBreak/>
        <w:t>⯀</w:t>
      </w:r>
      <w:r>
        <w:t xml:space="preserve"> decretar intervenção e liquidação extrajudicial das entidades fechadas de previdência complementar e nomear interventor ou liquidante, nos termos da lei; </w:t>
      </w:r>
    </w:p>
    <w:p w14:paraId="17D07274" w14:textId="77777777" w:rsidR="00C8153E" w:rsidRDefault="00C8153E" w:rsidP="00C8153E">
      <w:r>
        <w:rPr>
          <w:rFonts w:ascii="Segoe UI Symbol" w:hAnsi="Segoe UI Symbol" w:cs="Segoe UI Symbol"/>
        </w:rPr>
        <w:t>⯀</w:t>
      </w:r>
      <w:r>
        <w:t xml:space="preserve"> nomear administrador especial de plano de benefícios específico, podendo atribuir-lhe poderes de intervenção e liquidação extrajudicial, na forma da lei; </w:t>
      </w:r>
    </w:p>
    <w:p w14:paraId="14A4184D" w14:textId="77777777" w:rsidR="00C8153E" w:rsidRDefault="00C8153E" w:rsidP="00C8153E">
      <w:r>
        <w:rPr>
          <w:rFonts w:ascii="Segoe UI Symbol" w:hAnsi="Segoe UI Symbol" w:cs="Segoe UI Symbol"/>
        </w:rPr>
        <w:t>⯀</w:t>
      </w:r>
      <w:r>
        <w:t xml:space="preserve"> promover a mediação e a conciliação entre entidades fechadas de previdência complementar e entre as entidades e seus participantes, assistidos, patrocinadores ou instituidores, bem como dirimir os litígios que lhe forem submetidos na forma da Lei nº 9.307, de 23 de setembro de 1996; </w:t>
      </w:r>
    </w:p>
    <w:p w14:paraId="29E7B0B7" w14:textId="29F7CCF4" w:rsidR="00C8153E" w:rsidRDefault="00C8153E" w:rsidP="00C8153E">
      <w:r>
        <w:rPr>
          <w:rFonts w:ascii="Segoe UI Symbol" w:hAnsi="Segoe UI Symbol" w:cs="Segoe UI Symbol"/>
        </w:rPr>
        <w:t>⯀</w:t>
      </w:r>
      <w:r>
        <w:t xml:space="preserve"> enviar relatório anual de suas atividades ao Ministério da Economia e, por seu intermédio, ao Presidente da República e ao Congresso Nacional; e adotar as providências necessárias ao cumprimento de seus objetivos.</w:t>
      </w:r>
    </w:p>
    <w:p w14:paraId="227E6CEE" w14:textId="410C610D" w:rsidR="00C8153E" w:rsidRDefault="00C8153E" w:rsidP="00C8153E">
      <w:r>
        <w:rPr>
          <w:noProof/>
        </w:rPr>
        <w:drawing>
          <wp:inline distT="0" distB="0" distL="0" distR="0" wp14:anchorId="10217177" wp14:editId="3A7FE457">
            <wp:extent cx="5391150" cy="378142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1150" cy="3781425"/>
                    </a:xfrm>
                    <a:prstGeom prst="rect">
                      <a:avLst/>
                    </a:prstGeom>
                    <a:noFill/>
                    <a:ln>
                      <a:noFill/>
                    </a:ln>
                  </pic:spPr>
                </pic:pic>
              </a:graphicData>
            </a:graphic>
          </wp:inline>
        </w:drawing>
      </w:r>
    </w:p>
    <w:p w14:paraId="3FEA1076" w14:textId="22ED5FC4" w:rsidR="00D33946" w:rsidRPr="00D33946" w:rsidRDefault="00D33946" w:rsidP="00D33946">
      <w:pPr>
        <w:rPr>
          <w:b/>
          <w:bCs/>
        </w:rPr>
      </w:pPr>
      <w:r w:rsidRPr="00D33946">
        <w:rPr>
          <w:b/>
          <w:bCs/>
        </w:rPr>
        <w:t>O que são Instituições financeiras?</w:t>
      </w:r>
    </w:p>
    <w:p w14:paraId="6A18988C" w14:textId="2672F352" w:rsidR="00D33946" w:rsidRDefault="00D33946" w:rsidP="00D33946">
      <w:r>
        <w:t>○ Bancos comerciais;</w:t>
      </w:r>
    </w:p>
    <w:p w14:paraId="5A963382" w14:textId="60EAB01B" w:rsidR="00D33946" w:rsidRDefault="00D33946" w:rsidP="00D33946">
      <w:r>
        <w:t>○ Bancos de investimento;</w:t>
      </w:r>
    </w:p>
    <w:p w14:paraId="532F47C7" w14:textId="1AC70A81" w:rsidR="00D33946" w:rsidRDefault="00D33946" w:rsidP="00D33946">
      <w:r>
        <w:t>○ Bancos múltiplos;</w:t>
      </w:r>
    </w:p>
    <w:p w14:paraId="0130D32E" w14:textId="15348460" w:rsidR="00D33946" w:rsidRDefault="00D33946" w:rsidP="00D33946">
      <w:r>
        <w:t>○ Banco de desenvolvimento;</w:t>
      </w:r>
    </w:p>
    <w:p w14:paraId="42D05B3F" w14:textId="5EE513C6" w:rsidR="00D33946" w:rsidRDefault="00D33946" w:rsidP="00D33946">
      <w:r>
        <w:t>○ Caixa Econômica Federal - CEF;</w:t>
      </w:r>
    </w:p>
    <w:p w14:paraId="708814C8" w14:textId="3D78D08A" w:rsidR="00D33946" w:rsidRDefault="00D33946" w:rsidP="00D33946">
      <w:r>
        <w:t>○ Financeiras;</w:t>
      </w:r>
    </w:p>
    <w:p w14:paraId="1541979C" w14:textId="494D81C9" w:rsidR="00D33946" w:rsidRDefault="00D33946" w:rsidP="00D33946">
      <w:r>
        <w:t>○ Cooperativas de crédito ○ Corretoras e Distribuidoras de Valores Mobiliários;</w:t>
      </w:r>
    </w:p>
    <w:p w14:paraId="1981E692" w14:textId="5EC86813" w:rsidR="00D33946" w:rsidRDefault="00D33946" w:rsidP="00D33946">
      <w:r>
        <w:t>○ Companhias hipotecárias;</w:t>
      </w:r>
    </w:p>
    <w:p w14:paraId="24E92049" w14:textId="721D07FD" w:rsidR="00D33946" w:rsidRDefault="00D33946" w:rsidP="00D33946">
      <w:r>
        <w:lastRenderedPageBreak/>
        <w:t>○ Gestoras de recursos.</w:t>
      </w:r>
    </w:p>
    <w:p w14:paraId="6E9C68AD" w14:textId="3F2463FF" w:rsidR="00D33946" w:rsidRDefault="00D33946" w:rsidP="00D33946">
      <w:r>
        <w:t>Elas são responsáveis por identificar os clientes e/ou beneficiário final, obter e registrar dados dos clientes, manter suas informações atualizadas e comunicar ao COAF operações e situações atípicas ou suspeitas.</w:t>
      </w:r>
    </w:p>
    <w:p w14:paraId="244D9B11" w14:textId="05A8FDFC" w:rsidR="00D33946" w:rsidRDefault="00D33946" w:rsidP="00D33946">
      <w:r>
        <w:t>Além disso, executam empréstimos, investimentos, financiamentos e outros serviços.</w:t>
      </w:r>
    </w:p>
    <w:p w14:paraId="12F40E83" w14:textId="077FA6EB" w:rsidR="00C8153E" w:rsidRDefault="00D33946" w:rsidP="00D33946">
      <w:r>
        <w:t>Elas devem estar cadastradas e regularizadas pela CVM e BACEN, para que possam atender o público dentro das normas legais exigidas, com premissa de proteger clientes e investidores.</w:t>
      </w:r>
    </w:p>
    <w:p w14:paraId="47332823" w14:textId="7C120EDA" w:rsidR="00D33946" w:rsidRDefault="00D33946" w:rsidP="00D33946">
      <w:r>
        <w:rPr>
          <w:noProof/>
        </w:rPr>
        <w:drawing>
          <wp:inline distT="0" distB="0" distL="0" distR="0" wp14:anchorId="4A6BE346" wp14:editId="5E360AAC">
            <wp:extent cx="5391150" cy="359092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3590925"/>
                    </a:xfrm>
                    <a:prstGeom prst="rect">
                      <a:avLst/>
                    </a:prstGeom>
                    <a:noFill/>
                    <a:ln>
                      <a:noFill/>
                    </a:ln>
                  </pic:spPr>
                </pic:pic>
              </a:graphicData>
            </a:graphic>
          </wp:inline>
        </w:drawing>
      </w:r>
    </w:p>
    <w:p w14:paraId="5BD0AC1E" w14:textId="490CF546" w:rsidR="00383398" w:rsidRPr="00383398" w:rsidRDefault="00383398" w:rsidP="00D33946">
      <w:pPr>
        <w:rPr>
          <w:b/>
          <w:bCs/>
        </w:rPr>
      </w:pPr>
      <w:r w:rsidRPr="00383398">
        <w:rPr>
          <w:b/>
          <w:bCs/>
        </w:rPr>
        <w:t xml:space="preserve">Bancos - Comerciais, de Investimento e </w:t>
      </w:r>
      <w:proofErr w:type="spellStart"/>
      <w:r w:rsidRPr="00383398">
        <w:rPr>
          <w:b/>
          <w:bCs/>
        </w:rPr>
        <w:t>Multiplos</w:t>
      </w:r>
      <w:proofErr w:type="spellEnd"/>
    </w:p>
    <w:p w14:paraId="3928FB64" w14:textId="602CDBEF" w:rsidR="00383398" w:rsidRPr="00383398" w:rsidRDefault="00383398" w:rsidP="00383398">
      <w:r w:rsidRPr="00383398">
        <w:t>BANCO COMERCIAL</w:t>
      </w:r>
    </w:p>
    <w:p w14:paraId="79F21C83" w14:textId="09CB87FE" w:rsidR="00383398" w:rsidRPr="00383398" w:rsidRDefault="00383398" w:rsidP="00383398">
      <w:r w:rsidRPr="00383398">
        <w:t xml:space="preserve"> Você, com certeza, ao andar pelas ruas de sua cidade, já tropeçou em uma agência do Banco do Brasil, ou qualquer outro banco, certo? Acredite em mim, a agência bancária é apenas um pequeno pedaço das operações dos bancos. Uma agência oferece, entre diversos serviços, os de conta corrente, e é sobre isso que vamos falar agora</w:t>
      </w:r>
    </w:p>
    <w:p w14:paraId="583CB6B7" w14:textId="77777777" w:rsidR="00383398" w:rsidRPr="00383398" w:rsidRDefault="00383398" w:rsidP="00383398">
      <w:r w:rsidRPr="00383398">
        <w:t>A Conta Corrente é também chamada de “depósito à vista”, e tem esse nome sofisticado por uma razão muito simples: sempre que você deposita dinheiro em sua conta corrente, esse recurso tem de estar a sua disposição a qualquer momento, inclusive no mesmo dia do depósito. Ao contrário do depósito à vista, nós temos o depósito a prazo, que, como o próprio nome sugere, é um depósito que tem um prazo para ser devolvido ao próprio depositante. Este, invariavelmente, gera rendimentos ao mesmo</w:t>
      </w:r>
    </w:p>
    <w:p w14:paraId="2C3A5E54" w14:textId="77777777" w:rsidR="00383398" w:rsidRPr="00383398" w:rsidRDefault="00383398" w:rsidP="00383398"/>
    <w:p w14:paraId="28EAC401" w14:textId="1FEAB26B" w:rsidR="00383398" w:rsidRPr="00383398" w:rsidRDefault="00383398" w:rsidP="00383398">
      <w:r w:rsidRPr="00383398">
        <w:t>Com essa breve introdução sobre depósitos à vista e depósito a prazo, vamos conseguir compreender e detalhar as funções dos Bancos Comerciais.</w:t>
      </w:r>
    </w:p>
    <w:p w14:paraId="0B59E621" w14:textId="42505C1E" w:rsidR="00383398" w:rsidRPr="00383398" w:rsidRDefault="00383398" w:rsidP="00383398">
      <w:r w:rsidRPr="00383398">
        <w:lastRenderedPageBreak/>
        <w:t>Os Bancos Comerciais são Instituições Financeiras privadas ou públicas, constituídas sob a forma de sociedade anônima. Através deles, o agente do sistema tem a possibilidade de captação de recursos (empréstimo) e rentabilidade de recursos (investimentos). Além disso, eles são prestadores de serviços que tornam a transferência de recursos viável entre os agentes do sistema. É por causa deles que você pode transferir dinheiro para alguém da sua família, por exemplo.</w:t>
      </w:r>
    </w:p>
    <w:p w14:paraId="6F2767E5" w14:textId="2E20FB2B" w:rsidR="00383398" w:rsidRPr="00383398" w:rsidRDefault="00383398" w:rsidP="00383398">
      <w:r w:rsidRPr="00383398">
        <w:t xml:space="preserve">Algumas funções que destacamos sobre os bancos comerciais são: </w:t>
      </w:r>
    </w:p>
    <w:p w14:paraId="34E33C2B" w14:textId="015ED513" w:rsidR="00383398" w:rsidRPr="00383398" w:rsidRDefault="00383398" w:rsidP="00383398">
      <w:r w:rsidRPr="00383398">
        <w:rPr>
          <w:rFonts w:ascii="Segoe UI Symbol" w:hAnsi="Segoe UI Symbol" w:cs="Segoe UI Symbol"/>
        </w:rPr>
        <w:t>⯀</w:t>
      </w:r>
      <w:r w:rsidRPr="00383398">
        <w:t xml:space="preserve"> captação de recursos através do depósito à vista (conta corrente); </w:t>
      </w:r>
    </w:p>
    <w:p w14:paraId="5C7475FA" w14:textId="61331FFB" w:rsidR="00383398" w:rsidRPr="00383398" w:rsidRDefault="00383398" w:rsidP="00383398">
      <w:r w:rsidRPr="00383398">
        <w:rPr>
          <w:rFonts w:ascii="Segoe UI Symbol" w:hAnsi="Segoe UI Symbol" w:cs="Segoe UI Symbol"/>
        </w:rPr>
        <w:t>⯀</w:t>
      </w:r>
      <w:r w:rsidRPr="00383398">
        <w:t xml:space="preserve"> captação de recursos através de depósitos a prazo: CDB, Letra Financeira; </w:t>
      </w:r>
    </w:p>
    <w:p w14:paraId="533D599F" w14:textId="0DD28B35" w:rsidR="00383398" w:rsidRPr="00383398" w:rsidRDefault="00383398" w:rsidP="00383398">
      <w:r w:rsidRPr="00383398">
        <w:rPr>
          <w:rFonts w:ascii="Segoe UI Symbol" w:hAnsi="Segoe UI Symbol" w:cs="Segoe UI Symbol"/>
        </w:rPr>
        <w:t>⯀</w:t>
      </w:r>
      <w:r w:rsidRPr="00383398">
        <w:t xml:space="preserve"> aplicação de recursos através de desconto de títulos;</w:t>
      </w:r>
    </w:p>
    <w:p w14:paraId="79F87217" w14:textId="25B78E15" w:rsidR="00383398" w:rsidRPr="00383398" w:rsidRDefault="00383398" w:rsidP="00383398">
      <w:r w:rsidRPr="00383398">
        <w:t xml:space="preserve"> </w:t>
      </w:r>
      <w:r w:rsidRPr="00383398">
        <w:rPr>
          <w:rFonts w:ascii="Segoe UI Symbol" w:hAnsi="Segoe UI Symbol" w:cs="Segoe UI Symbol"/>
        </w:rPr>
        <w:t>⯀</w:t>
      </w:r>
      <w:r w:rsidRPr="00383398">
        <w:t xml:space="preserve"> abertura de crédito simples em conta corrente: cheque especial;</w:t>
      </w:r>
    </w:p>
    <w:p w14:paraId="204B9FCD" w14:textId="3EDFAB33" w:rsidR="00383398" w:rsidRPr="00383398" w:rsidRDefault="00383398" w:rsidP="00383398">
      <w:r w:rsidRPr="00383398">
        <w:t xml:space="preserve"> </w:t>
      </w:r>
      <w:r w:rsidRPr="00383398">
        <w:rPr>
          <w:rFonts w:ascii="Segoe UI Symbol" w:hAnsi="Segoe UI Symbol" w:cs="Segoe UI Symbol"/>
        </w:rPr>
        <w:t>⯀</w:t>
      </w:r>
      <w:r w:rsidRPr="00383398">
        <w:t xml:space="preserve"> operações de crédito rural, câmbio e comércio internacional; </w:t>
      </w:r>
    </w:p>
    <w:p w14:paraId="3E427EF0" w14:textId="6DA06F6D" w:rsidR="00383398" w:rsidRPr="00383398" w:rsidRDefault="00383398" w:rsidP="00383398">
      <w:r w:rsidRPr="00383398">
        <w:rPr>
          <w:rFonts w:ascii="Segoe UI Symbol" w:hAnsi="Segoe UI Symbol" w:cs="Segoe UI Symbol"/>
        </w:rPr>
        <w:t>⯀</w:t>
      </w:r>
      <w:r w:rsidRPr="00383398">
        <w:t xml:space="preserve"> prestação de serviços: cobrança bancária, arrecadação de tarifas e tributos públicos, </w:t>
      </w:r>
      <w:proofErr w:type="spellStart"/>
      <w:r w:rsidRPr="00383398">
        <w:t>etc</w:t>
      </w:r>
      <w:proofErr w:type="spellEnd"/>
    </w:p>
    <w:p w14:paraId="372D0C27" w14:textId="75DE5644" w:rsidR="00383398" w:rsidRPr="00383398" w:rsidRDefault="00383398" w:rsidP="00383398">
      <w:r w:rsidRPr="00383398">
        <w:t>BANCO DE INVESTIMENTO</w:t>
      </w:r>
    </w:p>
    <w:p w14:paraId="404A4B37" w14:textId="38963790" w:rsidR="00383398" w:rsidRPr="00383398" w:rsidRDefault="00383398" w:rsidP="00383398">
      <w:r w:rsidRPr="00383398">
        <w:t>Como o nome já diz, estes bancos são focados em investimentos. Eles são responsáveis por fomentar os investimentos a médio e longo prazo para Pessoa Física e Jurídica.</w:t>
      </w:r>
    </w:p>
    <w:p w14:paraId="7D3464AE" w14:textId="77777777" w:rsidR="00383398" w:rsidRPr="00383398" w:rsidRDefault="00383398" w:rsidP="00383398">
      <w:r w:rsidRPr="00383398">
        <w:t>Essas Instituições Financeiras não oferecem conta corrente. Eles captam recursos por meio de depósitos a prazo, repasses de recursos externos, internos e venda de cotas de Fundos de Investimento.</w:t>
      </w:r>
    </w:p>
    <w:p w14:paraId="7545D315" w14:textId="108AD190" w:rsidR="00383398" w:rsidRPr="00383398" w:rsidRDefault="00383398" w:rsidP="00383398">
      <w:r w:rsidRPr="00383398">
        <w:t>O papel de um Banco de Investimentos é de fomentar o investimento em suas mais variadas formas. Trata-se de uma Instituição Financeira que pode trabalhar diretamente com as empresas, para, facilitar a emissão de Debêntures e até a abertura de seu capital na Bolsa de Valores.</w:t>
      </w:r>
    </w:p>
    <w:p w14:paraId="60813763" w14:textId="227BA46C" w:rsidR="00383398" w:rsidRPr="00383398" w:rsidRDefault="00383398" w:rsidP="00383398">
      <w:r w:rsidRPr="00383398">
        <w:t xml:space="preserve">Algumas funções que destacamos sobre os bancos de investimentos são: </w:t>
      </w:r>
    </w:p>
    <w:p w14:paraId="4606BE34" w14:textId="04ED6656" w:rsidR="00383398" w:rsidRPr="00383398" w:rsidRDefault="00383398" w:rsidP="00383398">
      <w:r w:rsidRPr="00383398">
        <w:rPr>
          <w:rFonts w:ascii="Segoe UI Symbol" w:hAnsi="Segoe UI Symbol" w:cs="Segoe UI Symbol"/>
        </w:rPr>
        <w:t>⯀</w:t>
      </w:r>
      <w:r w:rsidRPr="00383398">
        <w:t xml:space="preserve"> Operações com participação societária;</w:t>
      </w:r>
    </w:p>
    <w:p w14:paraId="3A46B175" w14:textId="6E210C9A" w:rsidR="00383398" w:rsidRPr="00383398" w:rsidRDefault="00383398" w:rsidP="00383398">
      <w:r w:rsidRPr="00383398">
        <w:t xml:space="preserve"> </w:t>
      </w:r>
      <w:r w:rsidRPr="00383398">
        <w:rPr>
          <w:rFonts w:ascii="Segoe UI Symbol" w:hAnsi="Segoe UI Symbol" w:cs="Segoe UI Symbol"/>
        </w:rPr>
        <w:t>⯀</w:t>
      </w:r>
      <w:r w:rsidRPr="00383398">
        <w:t xml:space="preserve"> Financiamento de atividades relacionadas à produção para suprimento de capital (de giro e fixo); </w:t>
      </w:r>
    </w:p>
    <w:p w14:paraId="4512B7CF" w14:textId="77777777" w:rsidR="00383398" w:rsidRPr="00383398" w:rsidRDefault="00383398" w:rsidP="00383398">
      <w:r w:rsidRPr="00383398">
        <w:rPr>
          <w:rFonts w:ascii="Segoe UI Symbol" w:hAnsi="Segoe UI Symbol" w:cs="Segoe UI Symbol"/>
        </w:rPr>
        <w:t>⯀</w:t>
      </w:r>
      <w:r w:rsidRPr="00383398">
        <w:t xml:space="preserve"> Assessoria financeira; </w:t>
      </w:r>
    </w:p>
    <w:p w14:paraId="62BECF61" w14:textId="16D1150B" w:rsidR="00383398" w:rsidRPr="00383398" w:rsidRDefault="00383398" w:rsidP="00383398">
      <w:r w:rsidRPr="00383398">
        <w:rPr>
          <w:rFonts w:ascii="Segoe UI Symbol" w:hAnsi="Segoe UI Symbol" w:cs="Segoe UI Symbol"/>
        </w:rPr>
        <w:t>⯀</w:t>
      </w:r>
      <w:r w:rsidRPr="00383398">
        <w:t xml:space="preserve"> Administração de capital de terceiros;</w:t>
      </w:r>
    </w:p>
    <w:p w14:paraId="5FED45AE" w14:textId="7E121589" w:rsidR="00383398" w:rsidRPr="00383398" w:rsidRDefault="00383398" w:rsidP="00383398">
      <w:r w:rsidRPr="00383398">
        <w:rPr>
          <w:rFonts w:ascii="Segoe UI Symbol" w:hAnsi="Segoe UI Symbol" w:cs="Segoe UI Symbol"/>
        </w:rPr>
        <w:t>⯀</w:t>
      </w:r>
      <w:r w:rsidRPr="00383398">
        <w:t xml:space="preserve"> Empréstimos de médio e longo prazo; </w:t>
      </w:r>
    </w:p>
    <w:p w14:paraId="3BC1BAAD" w14:textId="3925E6C0" w:rsidR="00383398" w:rsidRPr="00383398" w:rsidRDefault="00383398" w:rsidP="00383398">
      <w:r w:rsidRPr="00383398">
        <w:rPr>
          <w:rFonts w:ascii="Segoe UI Symbol" w:hAnsi="Segoe UI Symbol" w:cs="Segoe UI Symbol"/>
        </w:rPr>
        <w:t>⯀</w:t>
      </w:r>
      <w:r w:rsidRPr="00383398">
        <w:t xml:space="preserve"> Aquisição de valores e títulos mobiliários;</w:t>
      </w:r>
    </w:p>
    <w:p w14:paraId="6D50F4AC" w14:textId="332BFA16" w:rsidR="00383398" w:rsidRPr="00383398" w:rsidRDefault="00383398" w:rsidP="00383398">
      <w:r w:rsidRPr="00383398">
        <w:t xml:space="preserve"> </w:t>
      </w:r>
      <w:r w:rsidRPr="00383398">
        <w:rPr>
          <w:rFonts w:ascii="Segoe UI Symbol" w:hAnsi="Segoe UI Symbol" w:cs="Segoe UI Symbol"/>
        </w:rPr>
        <w:t>⯀</w:t>
      </w:r>
      <w:r w:rsidRPr="00383398">
        <w:t xml:space="preserve"> Operação de Subscrição de Ações ou IPO;</w:t>
      </w:r>
    </w:p>
    <w:p w14:paraId="5CF32384" w14:textId="60804034" w:rsidR="00383398" w:rsidRPr="00383398" w:rsidRDefault="00383398" w:rsidP="00383398">
      <w:r w:rsidRPr="00383398">
        <w:t xml:space="preserve"> </w:t>
      </w:r>
      <w:r w:rsidRPr="00383398">
        <w:rPr>
          <w:rFonts w:ascii="Segoe UI Symbol" w:hAnsi="Segoe UI Symbol" w:cs="Segoe UI Symbol"/>
        </w:rPr>
        <w:t>⯀</w:t>
      </w:r>
      <w:r w:rsidRPr="00383398">
        <w:t xml:space="preserve"> Emissão de títulos, como CDB (Certificado de Depósito Bancário) e RDB (Recibo de Depósito Bancário); </w:t>
      </w:r>
    </w:p>
    <w:p w14:paraId="67D14818" w14:textId="28CD2139" w:rsidR="00383398" w:rsidRPr="00383398" w:rsidRDefault="00383398" w:rsidP="00383398">
      <w:r w:rsidRPr="00383398">
        <w:rPr>
          <w:rFonts w:ascii="Segoe UI Symbol" w:hAnsi="Segoe UI Symbol" w:cs="Segoe UI Symbol"/>
        </w:rPr>
        <w:t>⯀</w:t>
      </w:r>
      <w:r w:rsidRPr="00383398">
        <w:t xml:space="preserve"> Emissão de debêntures; </w:t>
      </w:r>
    </w:p>
    <w:p w14:paraId="23D3B453" w14:textId="02B9B122" w:rsidR="00383398" w:rsidRPr="00383398" w:rsidRDefault="00383398" w:rsidP="00383398">
      <w:r w:rsidRPr="00383398">
        <w:rPr>
          <w:rFonts w:ascii="Segoe UI Symbol" w:hAnsi="Segoe UI Symbol" w:cs="Segoe UI Symbol"/>
        </w:rPr>
        <w:lastRenderedPageBreak/>
        <w:t>⯀</w:t>
      </w:r>
      <w:r w:rsidRPr="00383398">
        <w:t xml:space="preserve"> Administração e venda de cotas de fundos de investimentos; </w:t>
      </w:r>
    </w:p>
    <w:p w14:paraId="67FC7881" w14:textId="7F83EA1F" w:rsidR="00383398" w:rsidRPr="00383398" w:rsidRDefault="00383398" w:rsidP="00383398">
      <w:r w:rsidRPr="00383398">
        <w:rPr>
          <w:rFonts w:ascii="Segoe UI Symbol" w:hAnsi="Segoe UI Symbol" w:cs="Segoe UI Symbol"/>
        </w:rPr>
        <w:t>⯀</w:t>
      </w:r>
      <w:r w:rsidRPr="00383398">
        <w:t xml:space="preserve"> Depósitos interfinanceiros; </w:t>
      </w:r>
    </w:p>
    <w:p w14:paraId="5BA7CB59" w14:textId="77777777" w:rsidR="00383398" w:rsidRPr="00383398" w:rsidRDefault="00383398" w:rsidP="00383398">
      <w:r w:rsidRPr="00383398">
        <w:t xml:space="preserve"> </w:t>
      </w:r>
      <w:r w:rsidRPr="00383398">
        <w:rPr>
          <w:rFonts w:ascii="Segoe UI Symbol" w:hAnsi="Segoe UI Symbol" w:cs="Segoe UI Symbol"/>
        </w:rPr>
        <w:t>⯀</w:t>
      </w:r>
      <w:r w:rsidRPr="00383398">
        <w:t xml:space="preserve"> Repasses de empréstimos externos.</w:t>
      </w:r>
    </w:p>
    <w:p w14:paraId="4F30F10B" w14:textId="77777777" w:rsidR="00383398" w:rsidRPr="00383398" w:rsidRDefault="00383398" w:rsidP="00383398"/>
    <w:p w14:paraId="368829B0" w14:textId="1B28990B" w:rsidR="00383398" w:rsidRPr="00383398" w:rsidRDefault="00383398" w:rsidP="00383398">
      <w:r w:rsidRPr="00383398">
        <w:t>BANCO MÚLTIPLO</w:t>
      </w:r>
    </w:p>
    <w:p w14:paraId="38B74DD8" w14:textId="24CB026B" w:rsidR="00383398" w:rsidRPr="00383398" w:rsidRDefault="00383398" w:rsidP="00383398">
      <w:r w:rsidRPr="00383398">
        <w:t>Os Bancos Múltiplos são Instituições Financeiras privadas ou públicas que realizam as operações ativas, passivas e acessórias de diversas outras instituições, por intermédio das seguintes carteiras: comercial, de investimento e/ou de desenvolvimento, de crédito imobiliário, de arrendamento mercantil e de crédito, financiamento e investimento</w:t>
      </w:r>
    </w:p>
    <w:p w14:paraId="00D0E768" w14:textId="5FED11A6" w:rsidR="00383398" w:rsidRPr="00383398" w:rsidRDefault="00383398" w:rsidP="00383398">
      <w:r w:rsidRPr="00383398">
        <w:t>Essas operações estão sujeitas às mesmas normas legais e regulamentares aplicáveis às instituições singulares correspondentes às suas carteiras</w:t>
      </w:r>
    </w:p>
    <w:p w14:paraId="61027FC8" w14:textId="1D3045A8" w:rsidR="00383398" w:rsidRPr="00383398" w:rsidRDefault="00383398" w:rsidP="00383398">
      <w:r w:rsidRPr="00383398">
        <w:t>A carteira de desenvolvimento somente poderá ser operada por banco público. O Banco Múltiplo deve ser constituído com, no mínimo, duas carteiras, sendo uma delas, obrigatoriamente, comercial ou de investimento, e ser organizado sob a forma de sociedade anônima. As instituições com carteira comercial podem captar depósitos à vista. Na sua denominação social deve constar a expressão “Banco” (Resolução CMN 2.099, de 1994).</w:t>
      </w:r>
    </w:p>
    <w:p w14:paraId="112A610A" w14:textId="33FE56A9" w:rsidR="00383398" w:rsidRDefault="00383398" w:rsidP="00383398">
      <w:r w:rsidRPr="00383398">
        <w:t>Por que isso é importante? Porque esses bancos podem operar em cada carteira com CNPJ da carteira, mas publicar balanço em um único CNPJ, o do banco múltiplo</w:t>
      </w:r>
    </w:p>
    <w:p w14:paraId="3F4F6E62" w14:textId="04C5A521" w:rsidR="00383398" w:rsidRDefault="00383398" w:rsidP="00383398">
      <w:r>
        <w:rPr>
          <w:noProof/>
        </w:rPr>
        <w:drawing>
          <wp:inline distT="0" distB="0" distL="0" distR="0" wp14:anchorId="5709BF0A" wp14:editId="52947AE7">
            <wp:extent cx="5391150" cy="337185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3371850"/>
                    </a:xfrm>
                    <a:prstGeom prst="rect">
                      <a:avLst/>
                    </a:prstGeom>
                    <a:noFill/>
                    <a:ln>
                      <a:noFill/>
                    </a:ln>
                  </pic:spPr>
                </pic:pic>
              </a:graphicData>
            </a:graphic>
          </wp:inline>
        </w:drawing>
      </w:r>
    </w:p>
    <w:p w14:paraId="781FB67D" w14:textId="77777777" w:rsidR="00865B80" w:rsidRDefault="00865B80" w:rsidP="00383398">
      <w:pPr>
        <w:rPr>
          <w:b/>
          <w:bCs/>
        </w:rPr>
      </w:pPr>
    </w:p>
    <w:p w14:paraId="303287E3" w14:textId="77777777" w:rsidR="00865B80" w:rsidRDefault="00865B80" w:rsidP="00383398">
      <w:pPr>
        <w:rPr>
          <w:b/>
          <w:bCs/>
        </w:rPr>
      </w:pPr>
    </w:p>
    <w:p w14:paraId="4F501CA9" w14:textId="77777777" w:rsidR="00865B80" w:rsidRDefault="00865B80" w:rsidP="00383398">
      <w:pPr>
        <w:rPr>
          <w:b/>
          <w:bCs/>
        </w:rPr>
      </w:pPr>
    </w:p>
    <w:p w14:paraId="7378CA58" w14:textId="77777777" w:rsidR="00865B80" w:rsidRDefault="00865B80" w:rsidP="00383398">
      <w:pPr>
        <w:rPr>
          <w:b/>
          <w:bCs/>
        </w:rPr>
      </w:pPr>
    </w:p>
    <w:p w14:paraId="2D5C9B90" w14:textId="4F68685E" w:rsidR="00865B80" w:rsidRPr="00865B80" w:rsidRDefault="00865B80" w:rsidP="00383398">
      <w:pPr>
        <w:rPr>
          <w:b/>
          <w:bCs/>
        </w:rPr>
      </w:pPr>
      <w:r w:rsidRPr="00865B80">
        <w:rPr>
          <w:b/>
          <w:bCs/>
        </w:rPr>
        <w:lastRenderedPageBreak/>
        <w:t>Outras Modalidades de Bancos</w:t>
      </w:r>
    </w:p>
    <w:p w14:paraId="7488A6BC" w14:textId="19B6D80E" w:rsidR="00865B80" w:rsidRDefault="00865B80" w:rsidP="00865B80">
      <w:r>
        <w:t>Falamos, até agora, sobre Bancos Comerciais e Bancos de Investimentos. Acontece que esses bancos não preenchem todo espaço de serviços financeiros existentes no Brasil e, por isso, temos mais algumas modalidades - também chamado de carteiras - de bancos. Vamos a elas:</w:t>
      </w:r>
    </w:p>
    <w:p w14:paraId="50477FE6" w14:textId="16E2E6A4" w:rsidR="00865B80" w:rsidRDefault="00865B80" w:rsidP="00865B80">
      <w:r>
        <w:rPr>
          <w:rFonts w:ascii="Segoe UI Symbol" w:hAnsi="Segoe UI Symbol" w:cs="Segoe UI Symbol"/>
        </w:rPr>
        <w:t>⯀</w:t>
      </w:r>
      <w:r>
        <w:t xml:space="preserve"> Sociedade de Crédito Imobiliário: como o nome sugere, essa a instituição responsável por conceder empréstimos para financiamento imobiliário; </w:t>
      </w:r>
    </w:p>
    <w:p w14:paraId="16D88E98" w14:textId="7C4FA7BD" w:rsidR="00865B80" w:rsidRDefault="00865B80" w:rsidP="00865B80">
      <w:r>
        <w:rPr>
          <w:rFonts w:ascii="Segoe UI Symbol" w:hAnsi="Segoe UI Symbol" w:cs="Segoe UI Symbol"/>
        </w:rPr>
        <w:t>⯀</w:t>
      </w:r>
      <w:r>
        <w:t xml:space="preserve"> Sociedade de Crédito Financiamento e Investimentos: se você é palmeirense, conhece bem a Crefisa, né? Se você não é palmeirense e não entendeu a “piada interna”, a Crefisa é uma financeira dedicada a fazer empréstimo direto ao consumidor. É isso que uma sociedade de crédito financiamento e investimento faz. </w:t>
      </w:r>
    </w:p>
    <w:p w14:paraId="7FB09B10" w14:textId="01C84D71" w:rsidR="00865B80" w:rsidRDefault="00865B80" w:rsidP="00865B80">
      <w:r>
        <w:rPr>
          <w:rFonts w:ascii="Segoe UI Symbol" w:hAnsi="Segoe UI Symbol" w:cs="Segoe UI Symbol"/>
        </w:rPr>
        <w:t>⯀</w:t>
      </w:r>
      <w:r>
        <w:t xml:space="preserve"> De desenvolvimento: esse banco é o único que, por lei, deve ser um banco público e tem a função de fornecer linhas de crédito com o objetivo de desenvolver a economia. Um exemplo é o BNDES. Aquele banco que emprestou dinheiro com juros subsidiados para a JBS, lembra? </w:t>
      </w:r>
    </w:p>
    <w:p w14:paraId="56DA461C" w14:textId="7BF776E5" w:rsidR="00865B80" w:rsidRDefault="00865B80" w:rsidP="00865B80">
      <w:r>
        <w:rPr>
          <w:rFonts w:ascii="Segoe UI Symbol" w:hAnsi="Segoe UI Symbol" w:cs="Segoe UI Symbol"/>
        </w:rPr>
        <w:t>⯀</w:t>
      </w:r>
      <w:r>
        <w:t xml:space="preserve"> De arrendamento mercantil: a palavra mercantil vem de “mercadoria”. Esse banco vai arrendar uma mercadoria (máquinas, equipamentos) para pessoas físicas e empresas. Em outras palavras, esse banco faz leasing.</w:t>
      </w:r>
    </w:p>
    <w:p w14:paraId="7440B669" w14:textId="7594FD5C" w:rsidR="00865B80" w:rsidRDefault="00865B80" w:rsidP="00865B80">
      <w:r>
        <w:rPr>
          <w:noProof/>
        </w:rPr>
        <w:drawing>
          <wp:inline distT="0" distB="0" distL="0" distR="0" wp14:anchorId="0B26EB7B" wp14:editId="4F384FC2">
            <wp:extent cx="5391150" cy="32385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3238500"/>
                    </a:xfrm>
                    <a:prstGeom prst="rect">
                      <a:avLst/>
                    </a:prstGeom>
                    <a:noFill/>
                    <a:ln>
                      <a:noFill/>
                    </a:ln>
                  </pic:spPr>
                </pic:pic>
              </a:graphicData>
            </a:graphic>
          </wp:inline>
        </w:drawing>
      </w:r>
    </w:p>
    <w:p w14:paraId="6FC8B997" w14:textId="3FE29358" w:rsidR="00963445" w:rsidRPr="00963445" w:rsidRDefault="00963445" w:rsidP="00865B80">
      <w:pPr>
        <w:rPr>
          <w:b/>
          <w:bCs/>
        </w:rPr>
      </w:pPr>
      <w:r w:rsidRPr="00963445">
        <w:rPr>
          <w:b/>
          <w:bCs/>
        </w:rPr>
        <w:t>Bolsa de Valores: B3 S.A. – Brasil, Bolsa E Balcão (Fusão da BM&amp;FBOVESPA com a CETIP)</w:t>
      </w:r>
    </w:p>
    <w:p w14:paraId="7FBCEBC4" w14:textId="5327621B" w:rsidR="00963445" w:rsidRDefault="00963445" w:rsidP="00963445">
      <w:r>
        <w:t xml:space="preserve">A B3 (Brasil, Bolsa e Balcão, fusão da </w:t>
      </w:r>
      <w:proofErr w:type="spellStart"/>
      <w:r>
        <w:t>BM&amp;FBovespa</w:t>
      </w:r>
      <w:proofErr w:type="spellEnd"/>
      <w:r>
        <w:t xml:space="preserve"> com a </w:t>
      </w:r>
      <w:proofErr w:type="spellStart"/>
      <w:r>
        <w:t>Cetip</w:t>
      </w:r>
      <w:proofErr w:type="spellEnd"/>
      <w:r>
        <w:t>) é uma das principais empresas de infraestrutura de Mercado Financeiro no mundo, com atuação em ambiente de bolsa e de balcão.</w:t>
      </w:r>
    </w:p>
    <w:p w14:paraId="5D20D0F2" w14:textId="23A384B9" w:rsidR="00963445" w:rsidRDefault="00963445" w:rsidP="00963445">
      <w:r>
        <w:t>Suas atividades incluem criação e administração de sistemas de negociação, compensação, liquidação, depósito e registro para todas as principais classes de ativos, desde ações e títulos de Renda Fixa corporativa até derivativos de moedas, operações estruturadas e taxas de juro e de commodities</w:t>
      </w:r>
    </w:p>
    <w:p w14:paraId="4DFEBE28" w14:textId="016F3DD3" w:rsidR="00963445" w:rsidRDefault="00963445" w:rsidP="00963445">
      <w:r>
        <w:lastRenderedPageBreak/>
        <w:t>A B3 também opera como contraparte central garantidora para a maior parte das operações realizadas em seus mercados e oferta serviços de central depositária e de central de registro.</w:t>
      </w:r>
    </w:p>
    <w:p w14:paraId="4EF08CD0" w14:textId="3AE86B75" w:rsidR="00963445" w:rsidRDefault="00963445" w:rsidP="00963445">
      <w:r>
        <w:t>As negociações na Bolsa de Valores são feitas por meio de instituições habilitadas, ou seja, o investidor não pode acessar o ambiente de negociação da bolsa a não ser por meio de uma Instituição Financeira habilitada.</w:t>
      </w:r>
    </w:p>
    <w:p w14:paraId="084BA704" w14:textId="43DE1C17" w:rsidR="00963445" w:rsidRDefault="00963445" w:rsidP="00963445">
      <w:r>
        <w:t xml:space="preserve">Na B3 negocia-se, entre outras coisas: </w:t>
      </w:r>
    </w:p>
    <w:p w14:paraId="614E5C7D" w14:textId="4FB73E4E" w:rsidR="00963445" w:rsidRDefault="00963445" w:rsidP="00963445">
      <w:r>
        <w:rPr>
          <w:rFonts w:ascii="Segoe UI Symbol" w:hAnsi="Segoe UI Symbol" w:cs="Segoe UI Symbol"/>
        </w:rPr>
        <w:t>⯀</w:t>
      </w:r>
      <w:r>
        <w:t xml:space="preserve"> ações de empresas sociedades anônimas;</w:t>
      </w:r>
    </w:p>
    <w:p w14:paraId="70A4C162" w14:textId="77777777" w:rsidR="00963445" w:rsidRDefault="00963445" w:rsidP="00963445">
      <w:r>
        <w:t xml:space="preserve"> </w:t>
      </w:r>
      <w:r>
        <w:rPr>
          <w:rFonts w:ascii="Segoe UI Symbol" w:hAnsi="Segoe UI Symbol" w:cs="Segoe UI Symbol"/>
        </w:rPr>
        <w:t>⯀</w:t>
      </w:r>
      <w:r>
        <w:t xml:space="preserve"> derivativos (contratos que derivam de um outro ativo, podendo ser esse outro ativo ações, commodities, moedas e taxas); </w:t>
      </w:r>
    </w:p>
    <w:p w14:paraId="0F108D06" w14:textId="28EB944B" w:rsidR="00963445" w:rsidRDefault="00963445" w:rsidP="00963445">
      <w:r>
        <w:rPr>
          <w:rFonts w:ascii="Segoe UI Symbol" w:hAnsi="Segoe UI Symbol" w:cs="Segoe UI Symbol"/>
        </w:rPr>
        <w:t>⯀</w:t>
      </w:r>
      <w:r>
        <w:t xml:space="preserve"> cotas de Fundos de Investimentos;</w:t>
      </w:r>
    </w:p>
    <w:p w14:paraId="723B686A" w14:textId="7B9BB905" w:rsidR="00963445" w:rsidRDefault="00963445" w:rsidP="00963445">
      <w:r>
        <w:t>Vamos falar agora sobre as instituições habilitadas para operar no ambiente da bolsa, as sociedades corretoras de títulos e valores mobiliários.</w:t>
      </w:r>
    </w:p>
    <w:p w14:paraId="2015EEBA" w14:textId="51769B16" w:rsidR="00963445" w:rsidRDefault="00963445" w:rsidP="00963445">
      <w:r>
        <w:rPr>
          <w:noProof/>
        </w:rPr>
        <w:drawing>
          <wp:inline distT="0" distB="0" distL="0" distR="0" wp14:anchorId="27D60D3F" wp14:editId="0A0392B5">
            <wp:extent cx="5400040" cy="279019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90190"/>
                    </a:xfrm>
                    <a:prstGeom prst="rect">
                      <a:avLst/>
                    </a:prstGeom>
                    <a:noFill/>
                    <a:ln>
                      <a:noFill/>
                    </a:ln>
                  </pic:spPr>
                </pic:pic>
              </a:graphicData>
            </a:graphic>
          </wp:inline>
        </w:drawing>
      </w:r>
    </w:p>
    <w:p w14:paraId="4E286FBC" w14:textId="7D28DFA7" w:rsidR="00963445" w:rsidRPr="00BF59A9" w:rsidRDefault="00BF59A9" w:rsidP="00963445">
      <w:pPr>
        <w:rPr>
          <w:b/>
          <w:bCs/>
        </w:rPr>
      </w:pPr>
      <w:r w:rsidRPr="00BF59A9">
        <w:rPr>
          <w:b/>
          <w:bCs/>
        </w:rPr>
        <w:t>Corretoras e Distribuidoras de Valores Mobiliários</w:t>
      </w:r>
    </w:p>
    <w:p w14:paraId="67FC4674" w14:textId="50886ED6" w:rsidR="00BF59A9" w:rsidRDefault="00BF59A9" w:rsidP="00BF59A9">
      <w:r>
        <w:t>As Corretoras de Títulos e Valores Mobiliários (</w:t>
      </w:r>
      <w:proofErr w:type="spellStart"/>
      <w:r>
        <w:t>CTVMs</w:t>
      </w:r>
      <w:proofErr w:type="spellEnd"/>
      <w:r>
        <w:t>) e as Distribuidoras de Títulos e Valores Mobiliários (</w:t>
      </w:r>
      <w:proofErr w:type="spellStart"/>
      <w:r>
        <w:t>DTVMs</w:t>
      </w:r>
      <w:proofErr w:type="spellEnd"/>
      <w:r>
        <w:t>) são Instituições Financeiras que têm como atividade principal ou acessória a intermediação de operações nos mercados regulamentados de valores mobiliários, como é o caso dos mercados de bolsa e de balcão (organizado ou não).</w:t>
      </w:r>
    </w:p>
    <w:p w14:paraId="151A8109" w14:textId="1D10DFB6" w:rsidR="00BF59A9" w:rsidRDefault="00BF59A9" w:rsidP="00BF59A9">
      <w:r>
        <w:t>Esse serviço consiste na execução de ordens de compra e de venda de valores mobiliários para seus clientes, mas também podem se incluir, entre as atividades por elas oferecidas:</w:t>
      </w:r>
    </w:p>
    <w:p w14:paraId="65C7C530" w14:textId="2B630609" w:rsidR="00BF59A9" w:rsidRDefault="00BF59A9" w:rsidP="00BF59A9">
      <w:r>
        <w:rPr>
          <w:rFonts w:ascii="Segoe UI Symbol" w:hAnsi="Segoe UI Symbol" w:cs="Segoe UI Symbol"/>
        </w:rPr>
        <w:t>⯀</w:t>
      </w:r>
      <w:r>
        <w:t xml:space="preserve"> a disponibilização de informações de análise de investimentos; </w:t>
      </w:r>
    </w:p>
    <w:p w14:paraId="4F7F5C9B" w14:textId="10EB5499" w:rsidR="00BF59A9" w:rsidRDefault="00BF59A9" w:rsidP="00BF59A9">
      <w:r>
        <w:rPr>
          <w:rFonts w:ascii="Segoe UI Symbol" w:hAnsi="Segoe UI Symbol" w:cs="Segoe UI Symbol"/>
        </w:rPr>
        <w:t>⯀</w:t>
      </w:r>
      <w:r>
        <w:t xml:space="preserve"> a administração de carteiras de valores mobiliários (inclusive fundos de investimentos); e </w:t>
      </w:r>
    </w:p>
    <w:p w14:paraId="6A360AC6" w14:textId="09C7C976" w:rsidR="00BF59A9" w:rsidRDefault="00BF59A9" w:rsidP="00BF59A9">
      <w:r>
        <w:rPr>
          <w:rFonts w:ascii="Segoe UI Symbol" w:hAnsi="Segoe UI Symbol" w:cs="Segoe UI Symbol"/>
        </w:rPr>
        <w:t>⯀</w:t>
      </w:r>
      <w:r>
        <w:t xml:space="preserve"> a prestação de serviços de custódia e outras (algumas dessas atividades dependem de autorizações específicas)</w:t>
      </w:r>
    </w:p>
    <w:p w14:paraId="0BDF4313" w14:textId="62DE6B50" w:rsidR="00BF59A9" w:rsidRDefault="00BF59A9" w:rsidP="00BF59A9">
      <w:r>
        <w:lastRenderedPageBreak/>
        <w:t xml:space="preserve">É importante destacar que a competência da CVM em relação às </w:t>
      </w:r>
      <w:proofErr w:type="spellStart"/>
      <w:r>
        <w:t>CTVMs</w:t>
      </w:r>
      <w:proofErr w:type="spellEnd"/>
      <w:r>
        <w:t xml:space="preserve"> e </w:t>
      </w:r>
      <w:proofErr w:type="spellStart"/>
      <w:r>
        <w:t>DTVMs</w:t>
      </w:r>
      <w:proofErr w:type="spellEnd"/>
      <w:r>
        <w:t xml:space="preserve"> está limitada ao que prevê a Lei 6.385/76, ou seja, às operações com valores mobiliários.</w:t>
      </w:r>
    </w:p>
    <w:p w14:paraId="2418F69E" w14:textId="2F193671" w:rsidR="00BF59A9" w:rsidRDefault="00BF59A9" w:rsidP="00BF59A9">
      <w:proofErr w:type="spellStart"/>
      <w:r>
        <w:t>Obs</w:t>
      </w:r>
      <w:proofErr w:type="spellEnd"/>
      <w:r>
        <w:t xml:space="preserve">: Quem supervisiona as instituições financeiras como Bancos, corretoras e </w:t>
      </w:r>
      <w:proofErr w:type="spellStart"/>
      <w:r>
        <w:t>etc</w:t>
      </w:r>
      <w:proofErr w:type="spellEnd"/>
      <w:r>
        <w:t>, é o Banco Central do Brasil</w:t>
      </w:r>
    </w:p>
    <w:p w14:paraId="754A641D" w14:textId="786038DD" w:rsidR="00BF59A9" w:rsidRDefault="00BF59A9" w:rsidP="00BF59A9">
      <w:r>
        <w:rPr>
          <w:noProof/>
        </w:rPr>
        <w:drawing>
          <wp:inline distT="0" distB="0" distL="0" distR="0" wp14:anchorId="0787D76E" wp14:editId="1DA60251">
            <wp:extent cx="5400040" cy="3161665"/>
            <wp:effectExtent l="0" t="0" r="0" b="63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3161665"/>
                    </a:xfrm>
                    <a:prstGeom prst="rect">
                      <a:avLst/>
                    </a:prstGeom>
                    <a:noFill/>
                    <a:ln>
                      <a:noFill/>
                    </a:ln>
                  </pic:spPr>
                </pic:pic>
              </a:graphicData>
            </a:graphic>
          </wp:inline>
        </w:drawing>
      </w:r>
    </w:p>
    <w:p w14:paraId="1E725F90" w14:textId="5F554030" w:rsidR="00BF59A9" w:rsidRDefault="00B37EC9" w:rsidP="00BF59A9">
      <w:pPr>
        <w:rPr>
          <w:b/>
          <w:bCs/>
        </w:rPr>
      </w:pPr>
      <w:r w:rsidRPr="00B37EC9">
        <w:rPr>
          <w:b/>
          <w:bCs/>
        </w:rPr>
        <w:t xml:space="preserve">Tesouro Nacional, </w:t>
      </w:r>
      <w:proofErr w:type="spellStart"/>
      <w:r w:rsidRPr="00B37EC9">
        <w:rPr>
          <w:b/>
          <w:bCs/>
        </w:rPr>
        <w:t>Dealers</w:t>
      </w:r>
      <w:proofErr w:type="spellEnd"/>
      <w:r w:rsidRPr="00B37EC9">
        <w:rPr>
          <w:b/>
          <w:bCs/>
        </w:rPr>
        <w:t xml:space="preserve"> e Tesouro Direto</w:t>
      </w:r>
    </w:p>
    <w:p w14:paraId="78FB3A9B" w14:textId="7646068A" w:rsidR="00B37EC9" w:rsidRDefault="00B37EC9" w:rsidP="00B37EC9">
      <w:r>
        <w:t>O Tesouro Nacional é uma secretária do Governo Federal, criada em 10 de março de 1986. Sendo responsável por gerenciar os recursos arrecadados pelo governo, e conhecido por ser o Caixa forte do governo. Seu objetivo é gerir as contas públicas de forma eficiente e transparente, zelando pelo equilíbrio fiscal e pela qualidade do gasto público.</w:t>
      </w:r>
    </w:p>
    <w:p w14:paraId="15E9847A" w14:textId="7775CC5F" w:rsidR="00B37EC9" w:rsidRDefault="00B37EC9" w:rsidP="00B37EC9">
      <w:r>
        <w:t>O Tesouro Nacional é também responsável por cuidar dos recursos da União. Sabe todos os impostos que pagamos ao longo dos anos? Eles vão parar direto no caixa do Tesouro. De posse desse dinheiro, o mesmo vai gerir de acordo com a demanda do Estado</w:t>
      </w:r>
    </w:p>
    <w:p w14:paraId="2652CD15" w14:textId="7D2E5C9B" w:rsidR="00B37EC9" w:rsidRDefault="00B37EC9" w:rsidP="00B37EC9">
      <w:r>
        <w:t>Esses recursos possuem como fundamento serem devolvidos à sociedade em forma de serviços como saúde, segurança e educação.</w:t>
      </w:r>
    </w:p>
    <w:p w14:paraId="7ABFC9CA" w14:textId="76A3AF80" w:rsidR="00B37EC9" w:rsidRDefault="00B37EC9" w:rsidP="00B37EC9">
      <w:r>
        <w:t>Só que, acontece que nem sempre o que o governo arrecada é suficiente para cumprir essas obrigações e, para isso, o ele pode lançar mão do recurso de emitir Títulos Públicos no mercado</w:t>
      </w:r>
    </w:p>
    <w:p w14:paraId="53A05EFF" w14:textId="0090B1D2" w:rsidR="00B37EC9" w:rsidRDefault="00B37EC9" w:rsidP="00B37EC9">
      <w:r>
        <w:t>Estes títulos representam, de uma maneira bem objetiva, a dívida da união e, por sua vez, essa dívida é também gerida pelo Tesouro Nacional. Anote bem esse conteúdo, pois com sua compreensão, você irá bem no tema Títulos Públicos Federais que falaremos mais adiante</w:t>
      </w:r>
    </w:p>
    <w:p w14:paraId="4A693E7E" w14:textId="77777777" w:rsidR="00B37EC9" w:rsidRDefault="00B37EC9" w:rsidP="00B37EC9">
      <w:proofErr w:type="spellStart"/>
      <w:r>
        <w:t>Dealers</w:t>
      </w:r>
      <w:proofErr w:type="spellEnd"/>
    </w:p>
    <w:p w14:paraId="7C3E21AD" w14:textId="77777777" w:rsidR="00B37EC9" w:rsidRDefault="00B37EC9" w:rsidP="00B37EC9">
      <w:r>
        <w:t xml:space="preserve">Os </w:t>
      </w:r>
      <w:proofErr w:type="spellStart"/>
      <w:r>
        <w:t>Dealers</w:t>
      </w:r>
      <w:proofErr w:type="spellEnd"/>
      <w:r>
        <w:t xml:space="preserve"> são Instituições Financeiras credenciadas pelo próprio Tesouro Nacional. O objetivo deles é de promover o desenvolvimento dos Mercados Primário e Secundário de Títulos Públicos. Eles atuam tanto nas emissões primárias de títulos, como na negociação no Mercado Secundário dos mesmos.</w:t>
      </w:r>
    </w:p>
    <w:p w14:paraId="63708A80" w14:textId="4A02838E" w:rsidR="00B37EC9" w:rsidRDefault="00B37EC9" w:rsidP="00B37EC9">
      <w:r>
        <w:lastRenderedPageBreak/>
        <w:t xml:space="preserve">Atualmente, o Tesouro Nacional possui 12 </w:t>
      </w:r>
      <w:proofErr w:type="spellStart"/>
      <w:r>
        <w:t>dealers</w:t>
      </w:r>
      <w:proofErr w:type="spellEnd"/>
      <w:r>
        <w:t xml:space="preserve">, dos quais 9 são bancos e 3 são corretoras ou distribuidoras independentes. Em outras palavras, os </w:t>
      </w:r>
      <w:proofErr w:type="spellStart"/>
      <w:r>
        <w:t>Dealers</w:t>
      </w:r>
      <w:proofErr w:type="spellEnd"/>
      <w:r>
        <w:t xml:space="preserve"> são as Instituições Financeiras que participam ativamente do processo de compra e venda de Títulos Públicos para financiar o governo, bem como serem utilizados pelo BACEN como Política Monetária</w:t>
      </w:r>
    </w:p>
    <w:p w14:paraId="5A4A0DD0" w14:textId="5D7DB640" w:rsidR="00B37EC9" w:rsidRDefault="00B37EC9" w:rsidP="00B37EC9">
      <w:r>
        <w:t>O desempenho de cada instituição é avaliado a cada 6 meses. Aquelas com o pior desempenho são substituídas, sendo que, a seleção é feita mediante avaliação, baseada, sobretudo, nas participações em ofertas públicas e no Mercado Secundário de Títulos Públicos</w:t>
      </w:r>
    </w:p>
    <w:p w14:paraId="48D6E196" w14:textId="3AC5AE7C" w:rsidR="00B37EC9" w:rsidRDefault="00B37EC9" w:rsidP="00B37EC9">
      <w:r>
        <w:t xml:space="preserve">Tesouro Direto </w:t>
      </w:r>
    </w:p>
    <w:p w14:paraId="68494669" w14:textId="4CC3A0D7" w:rsidR="00B37EC9" w:rsidRDefault="00B37EC9" w:rsidP="00B37EC9">
      <w:r>
        <w:t xml:space="preserve">O Tesouro Direto é um programa do Tesouro Nacional desenvolvido em parceria com a </w:t>
      </w:r>
      <w:proofErr w:type="spellStart"/>
      <w:r>
        <w:t>BM&amp;FBovespa</w:t>
      </w:r>
      <w:proofErr w:type="spellEnd"/>
      <w:r>
        <w:t xml:space="preserve"> para venda de Títulos Públicos Federais para Pessoas Físicas, por meio da internet</w:t>
      </w:r>
    </w:p>
    <w:p w14:paraId="6CBF68F8" w14:textId="07FE3120" w:rsidR="00B37EC9" w:rsidRDefault="00B37EC9" w:rsidP="00B37EC9">
      <w:r>
        <w:t>Concebido em 2002, esse o programa surgiu com o objetivo de democratizar o acesso aos Títulos Públicos, ao permitir aplicações com apenas R$ 30,00. Antes do Tesouro Direto, o investimento em títulos por Pessoas Físicas era possível somente indiretamente. Ou seja, por meio de fundos de Renda Fixa que, por cobrarem elevadas taxas de administração, especialmente em aplicações de baixo valor, reduziam a atratividade desse tipo de investimento.</w:t>
      </w:r>
    </w:p>
    <w:p w14:paraId="339C1909" w14:textId="3DAF4402" w:rsidR="00B37EC9" w:rsidRDefault="00B37EC9" w:rsidP="00B37EC9">
      <w:r>
        <w:t>O Tesouro Direto contribuiu para a diversificação e complementação das alternativas de investimento disponíveis no mercado ao oferecer títulos com diferentes tipos de rentabilidade (prefixada, ligada à variação da inflação ou à variação da taxa de juros básica da economia - Selic), de prazos de vencimento e de fluxos de remuneração. Com tantas opções, fica fácil achar um título indicado para cada necessidade.</w:t>
      </w:r>
    </w:p>
    <w:p w14:paraId="648C50F8" w14:textId="06794B2F" w:rsidR="00B37EC9" w:rsidRPr="00B37EC9" w:rsidRDefault="00B37EC9" w:rsidP="00B37EC9">
      <w:r>
        <w:t>Além de acessível e de apresentar opções de investimento que se encaixam aos seus objetivos financeiros, o ele oferece boa rentabilidade e liquidez diária. Mesmo sendo a aplicação de menor risco do mercado</w:t>
      </w:r>
    </w:p>
    <w:p w14:paraId="122CE4E1" w14:textId="7E2A5551" w:rsidR="00B37EC9" w:rsidRDefault="00B37EC9" w:rsidP="00BF59A9">
      <w:r>
        <w:rPr>
          <w:noProof/>
        </w:rPr>
        <w:drawing>
          <wp:inline distT="0" distB="0" distL="0" distR="0" wp14:anchorId="1A3CFA6B" wp14:editId="5AF764B1">
            <wp:extent cx="5400040" cy="2990215"/>
            <wp:effectExtent l="0" t="0" r="0" b="63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990215"/>
                    </a:xfrm>
                    <a:prstGeom prst="rect">
                      <a:avLst/>
                    </a:prstGeom>
                    <a:noFill/>
                    <a:ln>
                      <a:noFill/>
                    </a:ln>
                  </pic:spPr>
                </pic:pic>
              </a:graphicData>
            </a:graphic>
          </wp:inline>
        </w:drawing>
      </w:r>
    </w:p>
    <w:p w14:paraId="511ECD48" w14:textId="77777777" w:rsidR="001B67D1" w:rsidRDefault="001B67D1" w:rsidP="00BF59A9"/>
    <w:p w14:paraId="597A122A" w14:textId="77777777" w:rsidR="001B67D1" w:rsidRDefault="001B67D1" w:rsidP="00BF59A9"/>
    <w:p w14:paraId="3917F08C" w14:textId="3B17C739" w:rsidR="00B37EC9" w:rsidRDefault="001B67D1" w:rsidP="00BF59A9">
      <w:pPr>
        <w:rPr>
          <w:b/>
          <w:bCs/>
        </w:rPr>
      </w:pPr>
      <w:r w:rsidRPr="001B67D1">
        <w:rPr>
          <w:b/>
          <w:bCs/>
        </w:rPr>
        <w:lastRenderedPageBreak/>
        <w:t>Tipos de Investidor</w:t>
      </w:r>
    </w:p>
    <w:p w14:paraId="4BE3FF91" w14:textId="0635DDF9" w:rsidR="001B67D1" w:rsidRPr="001B67D1" w:rsidRDefault="001B67D1" w:rsidP="001B67D1">
      <w:r w:rsidRPr="001B67D1">
        <w:t>O Investidor profissional é aquele que atende aos critérios descritos na instrução CVM 554. É considerado um investidor com conhecimentos avançados de mercado e, por se enquadrar nesse perfil de investidor, terá acesso a produtos financeiros diferenciados.</w:t>
      </w:r>
    </w:p>
    <w:p w14:paraId="42507BBD" w14:textId="43AE0656" w:rsidR="001B67D1" w:rsidRPr="001B67D1" w:rsidRDefault="001B67D1" w:rsidP="001B67D1">
      <w:r w:rsidRPr="001B67D1">
        <w:t xml:space="preserve">Os Investidores Profissionais são: </w:t>
      </w:r>
    </w:p>
    <w:p w14:paraId="56043606" w14:textId="3D781AEF" w:rsidR="001B67D1" w:rsidRPr="001B67D1" w:rsidRDefault="001B67D1" w:rsidP="001B67D1">
      <w:r w:rsidRPr="001B67D1">
        <w:t xml:space="preserve">I. Instituições Financeiras e demais instituições autorizadas a funcionar pelo Banco Central do Brasil; </w:t>
      </w:r>
    </w:p>
    <w:p w14:paraId="6CA3EA5A" w14:textId="6CCE3299" w:rsidR="001B67D1" w:rsidRPr="001B67D1" w:rsidRDefault="001B67D1" w:rsidP="001B67D1">
      <w:r w:rsidRPr="001B67D1">
        <w:t xml:space="preserve">II. companhias seguradoras e sociedades de capitalização; </w:t>
      </w:r>
    </w:p>
    <w:p w14:paraId="45CB3069" w14:textId="7EA075A5" w:rsidR="001B67D1" w:rsidRPr="001B67D1" w:rsidRDefault="001B67D1" w:rsidP="001B67D1">
      <w:r w:rsidRPr="001B67D1">
        <w:t xml:space="preserve">III. entidades abertas e fechadas de previdência complementar; </w:t>
      </w:r>
    </w:p>
    <w:p w14:paraId="4FC59C13" w14:textId="74B92A80" w:rsidR="001B67D1" w:rsidRPr="001B67D1" w:rsidRDefault="001B67D1" w:rsidP="001B67D1">
      <w:r w:rsidRPr="001B67D1">
        <w:t xml:space="preserve">IV. pessoas naturais ou jurídicas que possuam investimentos financeiros em valor superior a R$ 10.000.000,00 (dez milhões de reais) e que, adicionalmente, atestem por escrito sua condição de investidor profissional mediante termo próprio, de acordo com o Anexo 9-A; </w:t>
      </w:r>
    </w:p>
    <w:p w14:paraId="2F6E4741" w14:textId="20A1A810" w:rsidR="001B67D1" w:rsidRPr="001B67D1" w:rsidRDefault="001B67D1" w:rsidP="001B67D1">
      <w:r w:rsidRPr="001B67D1">
        <w:t xml:space="preserve">V. fundos de investimento; </w:t>
      </w:r>
    </w:p>
    <w:p w14:paraId="6E9843FB" w14:textId="12AA0C2C" w:rsidR="001B67D1" w:rsidRPr="001B67D1" w:rsidRDefault="001B67D1" w:rsidP="001B67D1">
      <w:r w:rsidRPr="001B67D1">
        <w:t xml:space="preserve">VI. clubes de investimento, desde que tenham a carteira gerida por administrador de carteira de valores mobiliários autorizado pela CVM; </w:t>
      </w:r>
    </w:p>
    <w:p w14:paraId="3ACD975A" w14:textId="237C45CF" w:rsidR="001B67D1" w:rsidRPr="001B67D1" w:rsidRDefault="001B67D1" w:rsidP="001B67D1">
      <w:r w:rsidRPr="001B67D1">
        <w:t xml:space="preserve">VII. agentes autônomos de investimento, administradores de carteira, analistas e consultores de valores mobiliários autorizados pela CVM, em relação a seus recursos próprios; </w:t>
      </w:r>
    </w:p>
    <w:p w14:paraId="786E912C" w14:textId="7EE7F3AE" w:rsidR="001B67D1" w:rsidRPr="001B67D1" w:rsidRDefault="001B67D1" w:rsidP="001B67D1">
      <w:r w:rsidRPr="001B67D1">
        <w:t>VIII. investidores não residentes.” (NR)</w:t>
      </w:r>
    </w:p>
    <w:p w14:paraId="38151A65" w14:textId="384E1C6B" w:rsidR="001B67D1" w:rsidRPr="001B67D1" w:rsidRDefault="001B67D1" w:rsidP="001B67D1">
      <w:r w:rsidRPr="001B67D1">
        <w:t>INVESTIDOR QUALIFICADO:</w:t>
      </w:r>
    </w:p>
    <w:p w14:paraId="1A9775B3" w14:textId="27A4F8C2" w:rsidR="001B67D1" w:rsidRPr="001B67D1" w:rsidRDefault="001B67D1" w:rsidP="001B67D1">
      <w:r w:rsidRPr="001B67D1">
        <w:t>São considerados investidores qualificados:</w:t>
      </w:r>
    </w:p>
    <w:p w14:paraId="53F38E4D" w14:textId="718EE9BE" w:rsidR="001B67D1" w:rsidRPr="001B67D1" w:rsidRDefault="001B67D1" w:rsidP="001B67D1">
      <w:r w:rsidRPr="001B67D1">
        <w:t>I. investidores profissionais;</w:t>
      </w:r>
    </w:p>
    <w:p w14:paraId="3F87FE30" w14:textId="0FDD4FE1" w:rsidR="001B67D1" w:rsidRPr="001B67D1" w:rsidRDefault="001B67D1" w:rsidP="001B67D1">
      <w:r w:rsidRPr="001B67D1">
        <w:t xml:space="preserve"> II. pessoas naturais ou jurídicas que possuam investimentos financeiros em valor superior a R$ 1.000.000,00 (um milhão de reais) e que, adicionalmente, atestem por escrito sua condição de investidor qualificado mediante termo próprio </w:t>
      </w:r>
    </w:p>
    <w:p w14:paraId="373F2C18" w14:textId="37C807BB" w:rsidR="001B67D1" w:rsidRPr="001B67D1" w:rsidRDefault="001B67D1" w:rsidP="001B67D1">
      <w:r w:rsidRPr="001B67D1">
        <w:t xml:space="preserve">III. as pessoas naturais que tenham sido aprovadas em exames de qualificação técnica ou possuam certificações aprovadas pela CVM como requisitos para o registro de agentes autônomos de investimento, administradores de carteira, analistas e consultores de valores mobiliários, em relação a seus recursos próprios; e </w:t>
      </w:r>
    </w:p>
    <w:p w14:paraId="35B07D11" w14:textId="002F75D4" w:rsidR="001B67D1" w:rsidRPr="001B67D1" w:rsidRDefault="001B67D1" w:rsidP="001B67D1">
      <w:r w:rsidRPr="001B67D1">
        <w:t xml:space="preserve">IV. clubes de investimento, desde que tenham a carteira gerida por um ou mais cotistas, que sejam investidores qualificados.” (NR) </w:t>
      </w:r>
    </w:p>
    <w:p w14:paraId="6E378E8C" w14:textId="09403B4C" w:rsidR="001B67D1" w:rsidRPr="001B67D1" w:rsidRDefault="001B67D1" w:rsidP="001B67D1">
      <w:r w:rsidRPr="001B67D1">
        <w:t>Dica do Kleber: todo investidor profissional é, por definição, também qualificado. No entanto, nem todo qualificado é profissional.</w:t>
      </w:r>
    </w:p>
    <w:p w14:paraId="7EFE9D13" w14:textId="3F8FC332" w:rsidR="001B67D1" w:rsidRPr="001B67D1" w:rsidRDefault="001B67D1" w:rsidP="001B67D1">
      <w:r w:rsidRPr="001B67D1">
        <w:t>INVESTIDOR NÃO-RESIDENTE</w:t>
      </w:r>
    </w:p>
    <w:p w14:paraId="5DEDD560" w14:textId="77777777" w:rsidR="001B67D1" w:rsidRDefault="001B67D1" w:rsidP="001B67D1">
      <w:r w:rsidRPr="001B67D1">
        <w:t>É a Pessoa Física ou Jurídica, fundos e outras entidades de investimentos individuais ou coletivas, com residência, sede ou domicílio no exterior, que investem os seus recursos no país. Simplesmente algum investidor de fora do país que investe no Brasil</w:t>
      </w:r>
    </w:p>
    <w:p w14:paraId="1A42BA1D" w14:textId="081F9FF7" w:rsidR="001B67D1" w:rsidRDefault="001B67D1" w:rsidP="001B67D1">
      <w:r w:rsidRPr="001B67D1">
        <w:lastRenderedPageBreak/>
        <w:t>Dica do Kléber: segundo a Instrução CVM 539, todo investidor não-residente é investidor profissional, logo ele também é qualificado.</w:t>
      </w:r>
    </w:p>
    <w:p w14:paraId="40488346" w14:textId="77777777" w:rsidR="001B67D1" w:rsidRPr="001B67D1" w:rsidRDefault="001B67D1" w:rsidP="001B67D1"/>
    <w:p w14:paraId="626D7B71" w14:textId="1B04BC5A" w:rsidR="001B67D1" w:rsidRPr="001B67D1" w:rsidRDefault="001B67D1" w:rsidP="001B67D1">
      <w:pPr>
        <w:rPr>
          <w:b/>
          <w:bCs/>
        </w:rPr>
      </w:pPr>
      <w:r>
        <w:rPr>
          <w:b/>
          <w:bCs/>
          <w:noProof/>
        </w:rPr>
        <w:drawing>
          <wp:inline distT="0" distB="0" distL="0" distR="0" wp14:anchorId="30DC2FFD" wp14:editId="3EF368B5">
            <wp:extent cx="5391150" cy="334327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3343275"/>
                    </a:xfrm>
                    <a:prstGeom prst="rect">
                      <a:avLst/>
                    </a:prstGeom>
                    <a:noFill/>
                    <a:ln>
                      <a:noFill/>
                    </a:ln>
                  </pic:spPr>
                </pic:pic>
              </a:graphicData>
            </a:graphic>
          </wp:inline>
        </w:drawing>
      </w:r>
    </w:p>
    <w:sectPr w:rsidR="001B67D1" w:rsidRPr="001B67D1">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3F8"/>
    <w:rsid w:val="000A5D28"/>
    <w:rsid w:val="001B67D1"/>
    <w:rsid w:val="00291FBA"/>
    <w:rsid w:val="00383398"/>
    <w:rsid w:val="003F7283"/>
    <w:rsid w:val="00822790"/>
    <w:rsid w:val="00865B80"/>
    <w:rsid w:val="00963445"/>
    <w:rsid w:val="00B37EC9"/>
    <w:rsid w:val="00BF59A9"/>
    <w:rsid w:val="00C8153E"/>
    <w:rsid w:val="00D33946"/>
    <w:rsid w:val="00ED33F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1CF48"/>
  <w15:chartTrackingRefBased/>
  <w15:docId w15:val="{37B11500-344D-4BB0-9074-C09238E27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456884">
      <w:bodyDiv w:val="1"/>
      <w:marLeft w:val="0"/>
      <w:marRight w:val="0"/>
      <w:marTop w:val="0"/>
      <w:marBottom w:val="0"/>
      <w:divBdr>
        <w:top w:val="none" w:sz="0" w:space="0" w:color="auto"/>
        <w:left w:val="none" w:sz="0" w:space="0" w:color="auto"/>
        <w:bottom w:val="none" w:sz="0" w:space="0" w:color="auto"/>
        <w:right w:val="none" w:sz="0" w:space="0" w:color="auto"/>
      </w:divBdr>
    </w:div>
    <w:div w:id="67920765">
      <w:bodyDiv w:val="1"/>
      <w:marLeft w:val="0"/>
      <w:marRight w:val="0"/>
      <w:marTop w:val="0"/>
      <w:marBottom w:val="0"/>
      <w:divBdr>
        <w:top w:val="none" w:sz="0" w:space="0" w:color="auto"/>
        <w:left w:val="none" w:sz="0" w:space="0" w:color="auto"/>
        <w:bottom w:val="none" w:sz="0" w:space="0" w:color="auto"/>
        <w:right w:val="none" w:sz="0" w:space="0" w:color="auto"/>
      </w:divBdr>
    </w:div>
    <w:div w:id="115564174">
      <w:bodyDiv w:val="1"/>
      <w:marLeft w:val="0"/>
      <w:marRight w:val="0"/>
      <w:marTop w:val="0"/>
      <w:marBottom w:val="0"/>
      <w:divBdr>
        <w:top w:val="none" w:sz="0" w:space="0" w:color="auto"/>
        <w:left w:val="none" w:sz="0" w:space="0" w:color="auto"/>
        <w:bottom w:val="none" w:sz="0" w:space="0" w:color="auto"/>
        <w:right w:val="none" w:sz="0" w:space="0" w:color="auto"/>
      </w:divBdr>
    </w:div>
    <w:div w:id="152766904">
      <w:bodyDiv w:val="1"/>
      <w:marLeft w:val="0"/>
      <w:marRight w:val="0"/>
      <w:marTop w:val="0"/>
      <w:marBottom w:val="0"/>
      <w:divBdr>
        <w:top w:val="none" w:sz="0" w:space="0" w:color="auto"/>
        <w:left w:val="none" w:sz="0" w:space="0" w:color="auto"/>
        <w:bottom w:val="none" w:sz="0" w:space="0" w:color="auto"/>
        <w:right w:val="none" w:sz="0" w:space="0" w:color="auto"/>
      </w:divBdr>
    </w:div>
    <w:div w:id="435908682">
      <w:bodyDiv w:val="1"/>
      <w:marLeft w:val="0"/>
      <w:marRight w:val="0"/>
      <w:marTop w:val="0"/>
      <w:marBottom w:val="0"/>
      <w:divBdr>
        <w:top w:val="none" w:sz="0" w:space="0" w:color="auto"/>
        <w:left w:val="none" w:sz="0" w:space="0" w:color="auto"/>
        <w:bottom w:val="none" w:sz="0" w:space="0" w:color="auto"/>
        <w:right w:val="none" w:sz="0" w:space="0" w:color="auto"/>
      </w:divBdr>
    </w:div>
    <w:div w:id="679086113">
      <w:bodyDiv w:val="1"/>
      <w:marLeft w:val="0"/>
      <w:marRight w:val="0"/>
      <w:marTop w:val="0"/>
      <w:marBottom w:val="0"/>
      <w:divBdr>
        <w:top w:val="none" w:sz="0" w:space="0" w:color="auto"/>
        <w:left w:val="none" w:sz="0" w:space="0" w:color="auto"/>
        <w:bottom w:val="none" w:sz="0" w:space="0" w:color="auto"/>
        <w:right w:val="none" w:sz="0" w:space="0" w:color="auto"/>
      </w:divBdr>
    </w:div>
    <w:div w:id="755444790">
      <w:bodyDiv w:val="1"/>
      <w:marLeft w:val="0"/>
      <w:marRight w:val="0"/>
      <w:marTop w:val="0"/>
      <w:marBottom w:val="0"/>
      <w:divBdr>
        <w:top w:val="none" w:sz="0" w:space="0" w:color="auto"/>
        <w:left w:val="none" w:sz="0" w:space="0" w:color="auto"/>
        <w:bottom w:val="none" w:sz="0" w:space="0" w:color="auto"/>
        <w:right w:val="none" w:sz="0" w:space="0" w:color="auto"/>
      </w:divBdr>
    </w:div>
    <w:div w:id="855460684">
      <w:bodyDiv w:val="1"/>
      <w:marLeft w:val="0"/>
      <w:marRight w:val="0"/>
      <w:marTop w:val="0"/>
      <w:marBottom w:val="0"/>
      <w:divBdr>
        <w:top w:val="none" w:sz="0" w:space="0" w:color="auto"/>
        <w:left w:val="none" w:sz="0" w:space="0" w:color="auto"/>
        <w:bottom w:val="none" w:sz="0" w:space="0" w:color="auto"/>
        <w:right w:val="none" w:sz="0" w:space="0" w:color="auto"/>
      </w:divBdr>
    </w:div>
    <w:div w:id="1024867497">
      <w:bodyDiv w:val="1"/>
      <w:marLeft w:val="0"/>
      <w:marRight w:val="0"/>
      <w:marTop w:val="0"/>
      <w:marBottom w:val="0"/>
      <w:divBdr>
        <w:top w:val="none" w:sz="0" w:space="0" w:color="auto"/>
        <w:left w:val="none" w:sz="0" w:space="0" w:color="auto"/>
        <w:bottom w:val="none" w:sz="0" w:space="0" w:color="auto"/>
        <w:right w:val="none" w:sz="0" w:space="0" w:color="auto"/>
      </w:divBdr>
    </w:div>
    <w:div w:id="1042095685">
      <w:bodyDiv w:val="1"/>
      <w:marLeft w:val="0"/>
      <w:marRight w:val="0"/>
      <w:marTop w:val="0"/>
      <w:marBottom w:val="0"/>
      <w:divBdr>
        <w:top w:val="none" w:sz="0" w:space="0" w:color="auto"/>
        <w:left w:val="none" w:sz="0" w:space="0" w:color="auto"/>
        <w:bottom w:val="none" w:sz="0" w:space="0" w:color="auto"/>
        <w:right w:val="none" w:sz="0" w:space="0" w:color="auto"/>
      </w:divBdr>
    </w:div>
    <w:div w:id="1052191952">
      <w:bodyDiv w:val="1"/>
      <w:marLeft w:val="0"/>
      <w:marRight w:val="0"/>
      <w:marTop w:val="0"/>
      <w:marBottom w:val="0"/>
      <w:divBdr>
        <w:top w:val="none" w:sz="0" w:space="0" w:color="auto"/>
        <w:left w:val="none" w:sz="0" w:space="0" w:color="auto"/>
        <w:bottom w:val="none" w:sz="0" w:space="0" w:color="auto"/>
        <w:right w:val="none" w:sz="0" w:space="0" w:color="auto"/>
      </w:divBdr>
    </w:div>
    <w:div w:id="1068914700">
      <w:bodyDiv w:val="1"/>
      <w:marLeft w:val="0"/>
      <w:marRight w:val="0"/>
      <w:marTop w:val="0"/>
      <w:marBottom w:val="0"/>
      <w:divBdr>
        <w:top w:val="none" w:sz="0" w:space="0" w:color="auto"/>
        <w:left w:val="none" w:sz="0" w:space="0" w:color="auto"/>
        <w:bottom w:val="none" w:sz="0" w:space="0" w:color="auto"/>
        <w:right w:val="none" w:sz="0" w:space="0" w:color="auto"/>
      </w:divBdr>
    </w:div>
    <w:div w:id="1097557843">
      <w:bodyDiv w:val="1"/>
      <w:marLeft w:val="0"/>
      <w:marRight w:val="0"/>
      <w:marTop w:val="0"/>
      <w:marBottom w:val="0"/>
      <w:divBdr>
        <w:top w:val="none" w:sz="0" w:space="0" w:color="auto"/>
        <w:left w:val="none" w:sz="0" w:space="0" w:color="auto"/>
        <w:bottom w:val="none" w:sz="0" w:space="0" w:color="auto"/>
        <w:right w:val="none" w:sz="0" w:space="0" w:color="auto"/>
      </w:divBdr>
    </w:div>
    <w:div w:id="1105614154">
      <w:bodyDiv w:val="1"/>
      <w:marLeft w:val="0"/>
      <w:marRight w:val="0"/>
      <w:marTop w:val="0"/>
      <w:marBottom w:val="0"/>
      <w:divBdr>
        <w:top w:val="none" w:sz="0" w:space="0" w:color="auto"/>
        <w:left w:val="none" w:sz="0" w:space="0" w:color="auto"/>
        <w:bottom w:val="none" w:sz="0" w:space="0" w:color="auto"/>
        <w:right w:val="none" w:sz="0" w:space="0" w:color="auto"/>
      </w:divBdr>
    </w:div>
    <w:div w:id="1141926757">
      <w:bodyDiv w:val="1"/>
      <w:marLeft w:val="0"/>
      <w:marRight w:val="0"/>
      <w:marTop w:val="0"/>
      <w:marBottom w:val="0"/>
      <w:divBdr>
        <w:top w:val="none" w:sz="0" w:space="0" w:color="auto"/>
        <w:left w:val="none" w:sz="0" w:space="0" w:color="auto"/>
        <w:bottom w:val="none" w:sz="0" w:space="0" w:color="auto"/>
        <w:right w:val="none" w:sz="0" w:space="0" w:color="auto"/>
      </w:divBdr>
    </w:div>
    <w:div w:id="1389036862">
      <w:bodyDiv w:val="1"/>
      <w:marLeft w:val="0"/>
      <w:marRight w:val="0"/>
      <w:marTop w:val="0"/>
      <w:marBottom w:val="0"/>
      <w:divBdr>
        <w:top w:val="none" w:sz="0" w:space="0" w:color="auto"/>
        <w:left w:val="none" w:sz="0" w:space="0" w:color="auto"/>
        <w:bottom w:val="none" w:sz="0" w:space="0" w:color="auto"/>
        <w:right w:val="none" w:sz="0" w:space="0" w:color="auto"/>
      </w:divBdr>
    </w:div>
    <w:div w:id="1430276475">
      <w:bodyDiv w:val="1"/>
      <w:marLeft w:val="0"/>
      <w:marRight w:val="0"/>
      <w:marTop w:val="0"/>
      <w:marBottom w:val="0"/>
      <w:divBdr>
        <w:top w:val="none" w:sz="0" w:space="0" w:color="auto"/>
        <w:left w:val="none" w:sz="0" w:space="0" w:color="auto"/>
        <w:bottom w:val="none" w:sz="0" w:space="0" w:color="auto"/>
        <w:right w:val="none" w:sz="0" w:space="0" w:color="auto"/>
      </w:divBdr>
    </w:div>
    <w:div w:id="1563367575">
      <w:bodyDiv w:val="1"/>
      <w:marLeft w:val="0"/>
      <w:marRight w:val="0"/>
      <w:marTop w:val="0"/>
      <w:marBottom w:val="0"/>
      <w:divBdr>
        <w:top w:val="none" w:sz="0" w:space="0" w:color="auto"/>
        <w:left w:val="none" w:sz="0" w:space="0" w:color="auto"/>
        <w:bottom w:val="none" w:sz="0" w:space="0" w:color="auto"/>
        <w:right w:val="none" w:sz="0" w:space="0" w:color="auto"/>
      </w:divBdr>
    </w:div>
    <w:div w:id="2073388682">
      <w:bodyDiv w:val="1"/>
      <w:marLeft w:val="0"/>
      <w:marRight w:val="0"/>
      <w:marTop w:val="0"/>
      <w:marBottom w:val="0"/>
      <w:divBdr>
        <w:top w:val="none" w:sz="0" w:space="0" w:color="auto"/>
        <w:left w:val="none" w:sz="0" w:space="0" w:color="auto"/>
        <w:bottom w:val="none" w:sz="0" w:space="0" w:color="auto"/>
        <w:right w:val="none" w:sz="0" w:space="0" w:color="auto"/>
      </w:divBdr>
    </w:div>
    <w:div w:id="2107456525">
      <w:bodyDiv w:val="1"/>
      <w:marLeft w:val="0"/>
      <w:marRight w:val="0"/>
      <w:marTop w:val="0"/>
      <w:marBottom w:val="0"/>
      <w:divBdr>
        <w:top w:val="none" w:sz="0" w:space="0" w:color="auto"/>
        <w:left w:val="none" w:sz="0" w:space="0" w:color="auto"/>
        <w:bottom w:val="none" w:sz="0" w:space="0" w:color="auto"/>
        <w:right w:val="none" w:sz="0" w:space="0" w:color="auto"/>
      </w:divBdr>
    </w:div>
    <w:div w:id="2111898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253</TotalTime>
  <Pages>19</Pages>
  <Words>5057</Words>
  <Characters>27310</Characters>
  <Application>Microsoft Office Word</Application>
  <DocSecurity>0</DocSecurity>
  <Lines>227</Lines>
  <Paragraphs>64</Paragraphs>
  <ScaleCrop>false</ScaleCrop>
  <Company/>
  <LinksUpToDate>false</LinksUpToDate>
  <CharactersWithSpaces>32303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Bacha</dc:creator>
  <cp:keywords/>
  <dc:description/>
  <cp:lastModifiedBy>Renato Bacha</cp:lastModifiedBy>
  <cp:revision>18</cp:revision>
  <dcterms:created xsi:type="dcterms:W3CDTF">2021-09-25T11:41:00Z</dcterms:created>
  <dcterms:modified xsi:type="dcterms:W3CDTF">2021-09-25T16:56:00Z</dcterms:modified>
</cp:coreProperties>
</file>